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1412F872" w:rsidR="00934A35" w:rsidRDefault="00EE1E8E" w:rsidP="00D462AA">
      <w:pPr>
        <w:pStyle w:val="Title"/>
      </w:pPr>
      <w:r>
        <w:t xml:space="preserve">Negative Brief: </w:t>
      </w:r>
      <w:r w:rsidR="00B569F7">
        <w:t>B.E.S.T. Act</w:t>
      </w:r>
    </w:p>
    <w:p w14:paraId="16A637BD" w14:textId="37ED9C46" w:rsidR="00AF2404" w:rsidRDefault="00D462AA" w:rsidP="00AF2404">
      <w:pPr>
        <w:jc w:val="center"/>
      </w:pPr>
      <w:r>
        <w:t xml:space="preserve">By </w:t>
      </w:r>
      <w:r w:rsidR="00196DF5">
        <w:t>“Coach Vance” Trefethen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674842B3" w14:textId="07392591" w:rsidR="00302028" w:rsidRPr="00302028" w:rsidRDefault="003F5C4E" w:rsidP="00302028">
      <w:pPr>
        <w:pStyle w:val="Case"/>
        <w:numPr>
          <w:ilvl w:val="0"/>
          <w:numId w:val="0"/>
        </w:numPr>
        <w:pBdr>
          <w:bottom w:val="single" w:sz="4" w:space="0" w:color="595959"/>
        </w:pBdr>
        <w:rPr>
          <w:rFonts w:eastAsiaTheme="minorEastAsia"/>
        </w:rPr>
      </w:pPr>
      <w:r>
        <w:rPr>
          <w:rFonts w:eastAsiaTheme="minorEastAsia"/>
        </w:rPr>
        <w:t xml:space="preserve">BEST Act is a bill currently pending in Congress to spend $300 million/year on federally funded research to improve energy storage systems.   These systems are needed to improve renewable energy like wind and solar in order to smooth out their delivery of electricity.  For example, when the wind </w:t>
      </w:r>
      <w:proofErr w:type="gramStart"/>
      <w:r>
        <w:rPr>
          <w:rFonts w:eastAsiaTheme="minorEastAsia"/>
        </w:rPr>
        <w:t>isn’t</w:t>
      </w:r>
      <w:proofErr w:type="gramEnd"/>
      <w:r>
        <w:rPr>
          <w:rFonts w:eastAsiaTheme="minorEastAsia"/>
        </w:rPr>
        <w:t xml:space="preserve"> blowing or the sun isn’t shining.  If energy is stored from when these systems are active, their output can flow evenly and make renewables have reliability equal to fossil fuel systems.</w:t>
      </w:r>
      <w:r w:rsidR="002E07F2">
        <w:rPr>
          <w:rFonts w:eastAsiaTheme="minorEastAsia"/>
        </w:rPr>
        <w:t xml:space="preserve"> </w:t>
      </w:r>
      <w:proofErr w:type="gramStart"/>
      <w:r w:rsidR="002E07F2">
        <w:rPr>
          <w:rFonts w:eastAsiaTheme="minorEastAsia"/>
        </w:rPr>
        <w:t>But</w:t>
      </w:r>
      <w:proofErr w:type="gramEnd"/>
      <w:r w:rsidR="002E07F2">
        <w:rPr>
          <w:rFonts w:eastAsiaTheme="minorEastAsia"/>
        </w:rPr>
        <w:t xml:space="preserve"> there are already 39 federal programs doing the Affirmative plan today.  </w:t>
      </w:r>
      <w:proofErr w:type="gramStart"/>
      <w:r w:rsidR="002E07F2">
        <w:rPr>
          <w:rFonts w:eastAsiaTheme="minorEastAsia"/>
        </w:rPr>
        <w:t>And</w:t>
      </w:r>
      <w:proofErr w:type="gramEnd"/>
      <w:r w:rsidR="002E07F2">
        <w:rPr>
          <w:rFonts w:eastAsiaTheme="minorEastAsia"/>
        </w:rPr>
        <w:t xml:space="preserve"> probably none of them are needed, because the technical issues are already being solved by the private sector, as energy storage technology and usage is already booming in the Status Quo.</w:t>
      </w:r>
      <w:r w:rsidR="009F7177">
        <w:rPr>
          <w:rFonts w:eastAsiaTheme="minorEastAsia"/>
        </w:rPr>
        <w:t xml:space="preserve">  Adding a </w:t>
      </w:r>
      <w:proofErr w:type="gramStart"/>
      <w:r w:rsidR="009F7177">
        <w:rPr>
          <w:rFonts w:eastAsiaTheme="minorEastAsia"/>
        </w:rPr>
        <w:t>40</w:t>
      </w:r>
      <w:r w:rsidR="009F7177" w:rsidRPr="009F7177">
        <w:rPr>
          <w:rFonts w:eastAsiaTheme="minorEastAsia"/>
          <w:vertAlign w:val="superscript"/>
        </w:rPr>
        <w:t>th</w:t>
      </w:r>
      <w:proofErr w:type="gramEnd"/>
      <w:r w:rsidR="009F7177">
        <w:rPr>
          <w:rFonts w:eastAsiaTheme="minorEastAsia"/>
        </w:rPr>
        <w:t xml:space="preserve"> federal program on top of the existing 39 is a waste of time and money, and a waste of an hour and a half of debate time.</w:t>
      </w:r>
    </w:p>
    <w:p w14:paraId="50267463" w14:textId="6BBA7FAF" w:rsidR="00F06009"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0" w:name="_GoBack"/>
      <w:bookmarkEnd w:id="0"/>
      <w:r w:rsidR="00F06009">
        <w:rPr>
          <w:noProof/>
        </w:rPr>
        <w:t>Negative:  BEST Act</w:t>
      </w:r>
      <w:r w:rsidR="00F06009">
        <w:rPr>
          <w:noProof/>
        </w:rPr>
        <w:tab/>
      </w:r>
      <w:r w:rsidR="00F06009">
        <w:rPr>
          <w:noProof/>
        </w:rPr>
        <w:fldChar w:fldCharType="begin"/>
      </w:r>
      <w:r w:rsidR="00F06009">
        <w:rPr>
          <w:noProof/>
        </w:rPr>
        <w:instrText xml:space="preserve"> PAGEREF _Toc27600256 \h </w:instrText>
      </w:r>
      <w:r w:rsidR="00F06009">
        <w:rPr>
          <w:noProof/>
        </w:rPr>
      </w:r>
      <w:r w:rsidR="00F06009">
        <w:rPr>
          <w:noProof/>
        </w:rPr>
        <w:fldChar w:fldCharType="separate"/>
      </w:r>
      <w:r w:rsidR="00F06009">
        <w:rPr>
          <w:noProof/>
        </w:rPr>
        <w:t>3</w:t>
      </w:r>
      <w:r w:rsidR="00F06009">
        <w:rPr>
          <w:noProof/>
        </w:rPr>
        <w:fldChar w:fldCharType="end"/>
      </w:r>
    </w:p>
    <w:p w14:paraId="6E4BEA6E" w14:textId="0B924F23" w:rsidR="00F06009" w:rsidRDefault="00F06009">
      <w:pPr>
        <w:pStyle w:val="TOC2"/>
        <w:rPr>
          <w:rFonts w:asciiTheme="minorHAnsi" w:eastAsiaTheme="minorEastAsia" w:hAnsiTheme="minorHAnsi" w:cstheme="minorBidi"/>
          <w:noProof/>
          <w:sz w:val="22"/>
        </w:rPr>
      </w:pPr>
      <w:r>
        <w:rPr>
          <w:noProof/>
        </w:rPr>
        <w:t>DEFINITION</w:t>
      </w:r>
      <w:r>
        <w:rPr>
          <w:noProof/>
        </w:rPr>
        <w:tab/>
      </w:r>
      <w:r>
        <w:rPr>
          <w:noProof/>
        </w:rPr>
        <w:fldChar w:fldCharType="begin"/>
      </w:r>
      <w:r>
        <w:rPr>
          <w:noProof/>
        </w:rPr>
        <w:instrText xml:space="preserve"> PAGEREF _Toc27600257 \h </w:instrText>
      </w:r>
      <w:r>
        <w:rPr>
          <w:noProof/>
        </w:rPr>
      </w:r>
      <w:r>
        <w:rPr>
          <w:noProof/>
        </w:rPr>
        <w:fldChar w:fldCharType="separate"/>
      </w:r>
      <w:r>
        <w:rPr>
          <w:noProof/>
        </w:rPr>
        <w:t>3</w:t>
      </w:r>
      <w:r>
        <w:rPr>
          <w:noProof/>
        </w:rPr>
        <w:fldChar w:fldCharType="end"/>
      </w:r>
    </w:p>
    <w:p w14:paraId="716D7073" w14:textId="69E1E2E3" w:rsidR="00F06009" w:rsidRDefault="00F06009">
      <w:pPr>
        <w:pStyle w:val="TOC3"/>
        <w:rPr>
          <w:rFonts w:asciiTheme="minorHAnsi" w:eastAsiaTheme="minorEastAsia" w:hAnsiTheme="minorHAnsi" w:cstheme="minorBidi"/>
          <w:noProof/>
          <w:sz w:val="22"/>
        </w:rPr>
      </w:pPr>
      <w:r>
        <w:rPr>
          <w:noProof/>
        </w:rPr>
        <w:t>$300 million/year funding research on energy storage systems</w:t>
      </w:r>
      <w:r>
        <w:rPr>
          <w:noProof/>
        </w:rPr>
        <w:tab/>
      </w:r>
      <w:r>
        <w:rPr>
          <w:noProof/>
        </w:rPr>
        <w:fldChar w:fldCharType="begin"/>
      </w:r>
      <w:r>
        <w:rPr>
          <w:noProof/>
        </w:rPr>
        <w:instrText xml:space="preserve"> PAGEREF _Toc27600258 \h </w:instrText>
      </w:r>
      <w:r>
        <w:rPr>
          <w:noProof/>
        </w:rPr>
      </w:r>
      <w:r>
        <w:rPr>
          <w:noProof/>
        </w:rPr>
        <w:fldChar w:fldCharType="separate"/>
      </w:r>
      <w:r>
        <w:rPr>
          <w:noProof/>
        </w:rPr>
        <w:t>3</w:t>
      </w:r>
      <w:r>
        <w:rPr>
          <w:noProof/>
        </w:rPr>
        <w:fldChar w:fldCharType="end"/>
      </w:r>
    </w:p>
    <w:p w14:paraId="0E7FDA9A" w14:textId="320CD6D3" w:rsidR="00F06009" w:rsidRDefault="00F06009">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_Toc27600259 \h </w:instrText>
      </w:r>
      <w:r>
        <w:rPr>
          <w:noProof/>
        </w:rPr>
      </w:r>
      <w:r>
        <w:rPr>
          <w:noProof/>
        </w:rPr>
        <w:fldChar w:fldCharType="separate"/>
      </w:r>
      <w:r>
        <w:rPr>
          <w:noProof/>
        </w:rPr>
        <w:t>3</w:t>
      </w:r>
      <w:r>
        <w:rPr>
          <w:noProof/>
        </w:rPr>
        <w:fldChar w:fldCharType="end"/>
      </w:r>
    </w:p>
    <w:p w14:paraId="59F1EBEF" w14:textId="424B7A15" w:rsidR="00F06009" w:rsidRDefault="00F06009">
      <w:pPr>
        <w:pStyle w:val="TOC2"/>
        <w:rPr>
          <w:rFonts w:asciiTheme="minorHAnsi" w:eastAsiaTheme="minorEastAsia" w:hAnsiTheme="minorHAnsi" w:cstheme="minorBidi"/>
          <w:noProof/>
          <w:sz w:val="22"/>
        </w:rPr>
      </w:pPr>
      <w:r>
        <w:rPr>
          <w:noProof/>
        </w:rPr>
        <w:t>1.  No change in policy – Status Quo already does the plan</w:t>
      </w:r>
      <w:r>
        <w:rPr>
          <w:noProof/>
        </w:rPr>
        <w:tab/>
      </w:r>
      <w:r>
        <w:rPr>
          <w:noProof/>
        </w:rPr>
        <w:fldChar w:fldCharType="begin"/>
      </w:r>
      <w:r>
        <w:rPr>
          <w:noProof/>
        </w:rPr>
        <w:instrText xml:space="preserve"> PAGEREF _Toc27600260 \h </w:instrText>
      </w:r>
      <w:r>
        <w:rPr>
          <w:noProof/>
        </w:rPr>
      </w:r>
      <w:r>
        <w:rPr>
          <w:noProof/>
        </w:rPr>
        <w:fldChar w:fldCharType="separate"/>
      </w:r>
      <w:r>
        <w:rPr>
          <w:noProof/>
        </w:rPr>
        <w:t>3</w:t>
      </w:r>
      <w:r>
        <w:rPr>
          <w:noProof/>
        </w:rPr>
        <w:fldChar w:fldCharType="end"/>
      </w:r>
    </w:p>
    <w:p w14:paraId="30F50D30" w14:textId="7EAED6BE" w:rsidR="00F06009" w:rsidRDefault="00F06009">
      <w:pPr>
        <w:pStyle w:val="TOC3"/>
        <w:rPr>
          <w:rFonts w:asciiTheme="minorHAnsi" w:eastAsiaTheme="minorEastAsia" w:hAnsiTheme="minorHAnsi" w:cstheme="minorBidi"/>
          <w:noProof/>
          <w:sz w:val="22"/>
        </w:rPr>
      </w:pPr>
      <w:r>
        <w:rPr>
          <w:noProof/>
        </w:rPr>
        <w:t>Status Quo federal policy has been significant funding for energy storage research since 2009</w:t>
      </w:r>
      <w:r>
        <w:rPr>
          <w:noProof/>
        </w:rPr>
        <w:tab/>
      </w:r>
      <w:r>
        <w:rPr>
          <w:noProof/>
        </w:rPr>
        <w:fldChar w:fldCharType="begin"/>
      </w:r>
      <w:r>
        <w:rPr>
          <w:noProof/>
        </w:rPr>
        <w:instrText xml:space="preserve"> PAGEREF _Toc27600261 \h </w:instrText>
      </w:r>
      <w:r>
        <w:rPr>
          <w:noProof/>
        </w:rPr>
      </w:r>
      <w:r>
        <w:rPr>
          <w:noProof/>
        </w:rPr>
        <w:fldChar w:fldCharType="separate"/>
      </w:r>
      <w:r>
        <w:rPr>
          <w:noProof/>
        </w:rPr>
        <w:t>3</w:t>
      </w:r>
      <w:r>
        <w:rPr>
          <w:noProof/>
        </w:rPr>
        <w:fldChar w:fldCharType="end"/>
      </w:r>
    </w:p>
    <w:p w14:paraId="4407AA5A" w14:textId="729AFEB1" w:rsidR="00F06009" w:rsidRDefault="00F06009">
      <w:pPr>
        <w:pStyle w:val="TOC3"/>
        <w:rPr>
          <w:rFonts w:asciiTheme="minorHAnsi" w:eastAsiaTheme="minorEastAsia" w:hAnsiTheme="minorHAnsi" w:cstheme="minorBidi"/>
          <w:noProof/>
          <w:sz w:val="22"/>
        </w:rPr>
      </w:pPr>
      <w:r>
        <w:rPr>
          <w:noProof/>
        </w:rPr>
        <w:t>Status Quo has 39 federal programs on energy storage research, run by 6 different agencies</w:t>
      </w:r>
      <w:r>
        <w:rPr>
          <w:noProof/>
        </w:rPr>
        <w:tab/>
      </w:r>
      <w:r>
        <w:rPr>
          <w:noProof/>
        </w:rPr>
        <w:fldChar w:fldCharType="begin"/>
      </w:r>
      <w:r>
        <w:rPr>
          <w:noProof/>
        </w:rPr>
        <w:instrText xml:space="preserve"> PAGEREF _Toc27600262 \h </w:instrText>
      </w:r>
      <w:r>
        <w:rPr>
          <w:noProof/>
        </w:rPr>
      </w:r>
      <w:r>
        <w:rPr>
          <w:noProof/>
        </w:rPr>
        <w:fldChar w:fldCharType="separate"/>
      </w:r>
      <w:r>
        <w:rPr>
          <w:noProof/>
        </w:rPr>
        <w:t>3</w:t>
      </w:r>
      <w:r>
        <w:rPr>
          <w:noProof/>
        </w:rPr>
        <w:fldChar w:fldCharType="end"/>
      </w:r>
    </w:p>
    <w:p w14:paraId="751F1635" w14:textId="08B9BFBE" w:rsidR="00F06009" w:rsidRDefault="00F06009">
      <w:pPr>
        <w:pStyle w:val="TOC3"/>
        <w:rPr>
          <w:rFonts w:asciiTheme="minorHAnsi" w:eastAsiaTheme="minorEastAsia" w:hAnsiTheme="minorHAnsi" w:cstheme="minorBidi"/>
          <w:noProof/>
          <w:sz w:val="22"/>
        </w:rPr>
      </w:pPr>
      <w:r>
        <w:rPr>
          <w:noProof/>
        </w:rPr>
        <w:t>Violation:  No reform.</w:t>
      </w:r>
      <w:r>
        <w:rPr>
          <w:noProof/>
        </w:rPr>
        <w:tab/>
      </w:r>
      <w:r>
        <w:rPr>
          <w:noProof/>
        </w:rPr>
        <w:fldChar w:fldCharType="begin"/>
      </w:r>
      <w:r>
        <w:rPr>
          <w:noProof/>
        </w:rPr>
        <w:instrText xml:space="preserve"> PAGEREF _Toc27600263 \h </w:instrText>
      </w:r>
      <w:r>
        <w:rPr>
          <w:noProof/>
        </w:rPr>
      </w:r>
      <w:r>
        <w:rPr>
          <w:noProof/>
        </w:rPr>
        <w:fldChar w:fldCharType="separate"/>
      </w:r>
      <w:r>
        <w:rPr>
          <w:noProof/>
        </w:rPr>
        <w:t>3</w:t>
      </w:r>
      <w:r>
        <w:rPr>
          <w:noProof/>
        </w:rPr>
        <w:fldChar w:fldCharType="end"/>
      </w:r>
    </w:p>
    <w:p w14:paraId="44A3F573" w14:textId="6644CAF1" w:rsidR="00F06009" w:rsidRDefault="00F06009">
      <w:pPr>
        <w:pStyle w:val="TOC3"/>
        <w:rPr>
          <w:rFonts w:asciiTheme="minorHAnsi" w:eastAsiaTheme="minorEastAsia" w:hAnsiTheme="minorHAnsi" w:cstheme="minorBidi"/>
          <w:noProof/>
          <w:sz w:val="22"/>
        </w:rPr>
      </w:pPr>
      <w:r>
        <w:rPr>
          <w:noProof/>
        </w:rPr>
        <w:t>Impact:  No Affirmative team</w:t>
      </w:r>
      <w:r>
        <w:rPr>
          <w:noProof/>
        </w:rPr>
        <w:tab/>
      </w:r>
      <w:r>
        <w:rPr>
          <w:noProof/>
        </w:rPr>
        <w:fldChar w:fldCharType="begin"/>
      </w:r>
      <w:r>
        <w:rPr>
          <w:noProof/>
        </w:rPr>
        <w:instrText xml:space="preserve"> PAGEREF _Toc27600264 \h </w:instrText>
      </w:r>
      <w:r>
        <w:rPr>
          <w:noProof/>
        </w:rPr>
      </w:r>
      <w:r>
        <w:rPr>
          <w:noProof/>
        </w:rPr>
        <w:fldChar w:fldCharType="separate"/>
      </w:r>
      <w:r>
        <w:rPr>
          <w:noProof/>
        </w:rPr>
        <w:t>3</w:t>
      </w:r>
      <w:r>
        <w:rPr>
          <w:noProof/>
        </w:rPr>
        <w:fldChar w:fldCharType="end"/>
      </w:r>
    </w:p>
    <w:p w14:paraId="610C22E7" w14:textId="6CC7083D" w:rsidR="00F06009" w:rsidRDefault="00F06009">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_Toc27600265 \h </w:instrText>
      </w:r>
      <w:r>
        <w:rPr>
          <w:noProof/>
        </w:rPr>
      </w:r>
      <w:r>
        <w:rPr>
          <w:noProof/>
        </w:rPr>
        <w:fldChar w:fldCharType="separate"/>
      </w:r>
      <w:r>
        <w:rPr>
          <w:noProof/>
        </w:rPr>
        <w:t>4</w:t>
      </w:r>
      <w:r>
        <w:rPr>
          <w:noProof/>
        </w:rPr>
        <w:fldChar w:fldCharType="end"/>
      </w:r>
    </w:p>
    <w:p w14:paraId="29A3E7DD" w14:textId="6488043E" w:rsidR="00F06009" w:rsidRDefault="00F06009">
      <w:pPr>
        <w:pStyle w:val="TOC2"/>
        <w:rPr>
          <w:rFonts w:asciiTheme="minorHAnsi" w:eastAsiaTheme="minorEastAsia" w:hAnsiTheme="minorHAnsi" w:cstheme="minorBidi"/>
          <w:noProof/>
          <w:sz w:val="22"/>
        </w:rPr>
      </w:pPr>
      <w:r>
        <w:rPr>
          <w:noProof/>
        </w:rPr>
        <w:t>1.   Details on 5 federal programs already doing the AFF plan</w:t>
      </w:r>
      <w:r>
        <w:rPr>
          <w:noProof/>
        </w:rPr>
        <w:tab/>
      </w:r>
      <w:r>
        <w:rPr>
          <w:noProof/>
        </w:rPr>
        <w:fldChar w:fldCharType="begin"/>
      </w:r>
      <w:r>
        <w:rPr>
          <w:noProof/>
        </w:rPr>
        <w:instrText xml:space="preserve"> PAGEREF _Toc27600266 \h </w:instrText>
      </w:r>
      <w:r>
        <w:rPr>
          <w:noProof/>
        </w:rPr>
      </w:r>
      <w:r>
        <w:rPr>
          <w:noProof/>
        </w:rPr>
        <w:fldChar w:fldCharType="separate"/>
      </w:r>
      <w:r>
        <w:rPr>
          <w:noProof/>
        </w:rPr>
        <w:t>4</w:t>
      </w:r>
      <w:r>
        <w:rPr>
          <w:noProof/>
        </w:rPr>
        <w:fldChar w:fldCharType="end"/>
      </w:r>
    </w:p>
    <w:p w14:paraId="1002CB00" w14:textId="3DC8C1EE" w:rsidR="00F06009" w:rsidRDefault="00F06009">
      <w:pPr>
        <w:pStyle w:val="TOC3"/>
        <w:rPr>
          <w:rFonts w:asciiTheme="minorHAnsi" w:eastAsiaTheme="minorEastAsia" w:hAnsiTheme="minorHAnsi" w:cstheme="minorBidi"/>
          <w:noProof/>
          <w:sz w:val="22"/>
        </w:rPr>
      </w:pPr>
      <w:r>
        <w:rPr>
          <w:noProof/>
        </w:rPr>
        <w:t>#1 – DOE  “Joint Center for Energy Storage Research”</w:t>
      </w:r>
      <w:r>
        <w:rPr>
          <w:noProof/>
        </w:rPr>
        <w:tab/>
      </w:r>
      <w:r>
        <w:rPr>
          <w:noProof/>
        </w:rPr>
        <w:fldChar w:fldCharType="begin"/>
      </w:r>
      <w:r>
        <w:rPr>
          <w:noProof/>
        </w:rPr>
        <w:instrText xml:space="preserve"> PAGEREF _Toc27600267 \h </w:instrText>
      </w:r>
      <w:r>
        <w:rPr>
          <w:noProof/>
        </w:rPr>
      </w:r>
      <w:r>
        <w:rPr>
          <w:noProof/>
        </w:rPr>
        <w:fldChar w:fldCharType="separate"/>
      </w:r>
      <w:r>
        <w:rPr>
          <w:noProof/>
        </w:rPr>
        <w:t>4</w:t>
      </w:r>
      <w:r>
        <w:rPr>
          <w:noProof/>
        </w:rPr>
        <w:fldChar w:fldCharType="end"/>
      </w:r>
    </w:p>
    <w:p w14:paraId="56327DF0" w14:textId="210FBD6F" w:rsidR="00F06009" w:rsidRDefault="00F06009">
      <w:pPr>
        <w:pStyle w:val="TOC3"/>
        <w:rPr>
          <w:rFonts w:asciiTheme="minorHAnsi" w:eastAsiaTheme="minorEastAsia" w:hAnsiTheme="minorHAnsi" w:cstheme="minorBidi"/>
          <w:noProof/>
          <w:sz w:val="22"/>
        </w:rPr>
      </w:pPr>
      <w:r>
        <w:rPr>
          <w:noProof/>
        </w:rPr>
        <w:t>#2 – DOE  “Energy Storage Program”</w:t>
      </w:r>
      <w:r>
        <w:rPr>
          <w:noProof/>
        </w:rPr>
        <w:tab/>
      </w:r>
      <w:r>
        <w:rPr>
          <w:noProof/>
        </w:rPr>
        <w:fldChar w:fldCharType="begin"/>
      </w:r>
      <w:r>
        <w:rPr>
          <w:noProof/>
        </w:rPr>
        <w:instrText xml:space="preserve"> PAGEREF _Toc27600268 \h </w:instrText>
      </w:r>
      <w:r>
        <w:rPr>
          <w:noProof/>
        </w:rPr>
      </w:r>
      <w:r>
        <w:rPr>
          <w:noProof/>
        </w:rPr>
        <w:fldChar w:fldCharType="separate"/>
      </w:r>
      <w:r>
        <w:rPr>
          <w:noProof/>
        </w:rPr>
        <w:t>4</w:t>
      </w:r>
      <w:r>
        <w:rPr>
          <w:noProof/>
        </w:rPr>
        <w:fldChar w:fldCharType="end"/>
      </w:r>
    </w:p>
    <w:p w14:paraId="6A165034" w14:textId="5F86AA7C" w:rsidR="00F06009" w:rsidRDefault="00F06009">
      <w:pPr>
        <w:pStyle w:val="TOC3"/>
        <w:rPr>
          <w:rFonts w:asciiTheme="minorHAnsi" w:eastAsiaTheme="minorEastAsia" w:hAnsiTheme="minorHAnsi" w:cstheme="minorBidi"/>
          <w:noProof/>
          <w:sz w:val="22"/>
        </w:rPr>
      </w:pPr>
      <w:r>
        <w:rPr>
          <w:noProof/>
        </w:rPr>
        <w:t>#3 – DOE “EERE” program</w:t>
      </w:r>
      <w:r>
        <w:rPr>
          <w:noProof/>
        </w:rPr>
        <w:tab/>
      </w:r>
      <w:r>
        <w:rPr>
          <w:noProof/>
        </w:rPr>
        <w:fldChar w:fldCharType="begin"/>
      </w:r>
      <w:r>
        <w:rPr>
          <w:noProof/>
        </w:rPr>
        <w:instrText xml:space="preserve"> PAGEREF _Toc27600269 \h </w:instrText>
      </w:r>
      <w:r>
        <w:rPr>
          <w:noProof/>
        </w:rPr>
      </w:r>
      <w:r>
        <w:rPr>
          <w:noProof/>
        </w:rPr>
        <w:fldChar w:fldCharType="separate"/>
      </w:r>
      <w:r>
        <w:rPr>
          <w:noProof/>
        </w:rPr>
        <w:t>4</w:t>
      </w:r>
      <w:r>
        <w:rPr>
          <w:noProof/>
        </w:rPr>
        <w:fldChar w:fldCharType="end"/>
      </w:r>
    </w:p>
    <w:p w14:paraId="750FC9EE" w14:textId="42E81C37" w:rsidR="00F06009" w:rsidRDefault="00F06009">
      <w:pPr>
        <w:pStyle w:val="TOC3"/>
        <w:rPr>
          <w:rFonts w:asciiTheme="minorHAnsi" w:eastAsiaTheme="minorEastAsia" w:hAnsiTheme="minorHAnsi" w:cstheme="minorBidi"/>
          <w:noProof/>
          <w:sz w:val="22"/>
        </w:rPr>
      </w:pPr>
      <w:r>
        <w:rPr>
          <w:noProof/>
        </w:rPr>
        <w:t>#4 – DOE “ARPA-E” program</w:t>
      </w:r>
      <w:r>
        <w:rPr>
          <w:noProof/>
        </w:rPr>
        <w:tab/>
      </w:r>
      <w:r>
        <w:rPr>
          <w:noProof/>
        </w:rPr>
        <w:fldChar w:fldCharType="begin"/>
      </w:r>
      <w:r>
        <w:rPr>
          <w:noProof/>
        </w:rPr>
        <w:instrText xml:space="preserve"> PAGEREF _Toc27600270 \h </w:instrText>
      </w:r>
      <w:r>
        <w:rPr>
          <w:noProof/>
        </w:rPr>
      </w:r>
      <w:r>
        <w:rPr>
          <w:noProof/>
        </w:rPr>
        <w:fldChar w:fldCharType="separate"/>
      </w:r>
      <w:r>
        <w:rPr>
          <w:noProof/>
        </w:rPr>
        <w:t>5</w:t>
      </w:r>
      <w:r>
        <w:rPr>
          <w:noProof/>
        </w:rPr>
        <w:fldChar w:fldCharType="end"/>
      </w:r>
    </w:p>
    <w:p w14:paraId="79C2B701" w14:textId="580EA840" w:rsidR="00F06009" w:rsidRDefault="00F06009">
      <w:pPr>
        <w:pStyle w:val="TOC3"/>
        <w:rPr>
          <w:rFonts w:asciiTheme="minorHAnsi" w:eastAsiaTheme="minorEastAsia" w:hAnsiTheme="minorHAnsi" w:cstheme="minorBidi"/>
          <w:noProof/>
          <w:sz w:val="22"/>
        </w:rPr>
      </w:pPr>
      <w:r>
        <w:rPr>
          <w:noProof/>
        </w:rPr>
        <w:t>#5 – Defense Department “Operational Energy Management Capability Investment Fund”</w:t>
      </w:r>
      <w:r>
        <w:rPr>
          <w:noProof/>
        </w:rPr>
        <w:tab/>
      </w:r>
      <w:r>
        <w:rPr>
          <w:noProof/>
        </w:rPr>
        <w:fldChar w:fldCharType="begin"/>
      </w:r>
      <w:r>
        <w:rPr>
          <w:noProof/>
        </w:rPr>
        <w:instrText xml:space="preserve"> PAGEREF _Toc27600271 \h </w:instrText>
      </w:r>
      <w:r>
        <w:rPr>
          <w:noProof/>
        </w:rPr>
      </w:r>
      <w:r>
        <w:rPr>
          <w:noProof/>
        </w:rPr>
        <w:fldChar w:fldCharType="separate"/>
      </w:r>
      <w:r>
        <w:rPr>
          <w:noProof/>
        </w:rPr>
        <w:t>5</w:t>
      </w:r>
      <w:r>
        <w:rPr>
          <w:noProof/>
        </w:rPr>
        <w:fldChar w:fldCharType="end"/>
      </w:r>
    </w:p>
    <w:p w14:paraId="3DF391D5" w14:textId="5B9E2563" w:rsidR="00F06009" w:rsidRDefault="00F06009">
      <w:pPr>
        <w:pStyle w:val="TOC2"/>
        <w:rPr>
          <w:rFonts w:asciiTheme="minorHAnsi" w:eastAsiaTheme="minorEastAsia" w:hAnsiTheme="minorHAnsi" w:cstheme="minorBidi"/>
          <w:noProof/>
          <w:sz w:val="22"/>
        </w:rPr>
      </w:pPr>
      <w:r>
        <w:rPr>
          <w:noProof/>
        </w:rPr>
        <w:t>2.  States are doing it</w:t>
      </w:r>
      <w:r>
        <w:rPr>
          <w:noProof/>
        </w:rPr>
        <w:tab/>
      </w:r>
      <w:r>
        <w:rPr>
          <w:noProof/>
        </w:rPr>
        <w:fldChar w:fldCharType="begin"/>
      </w:r>
      <w:r>
        <w:rPr>
          <w:noProof/>
        </w:rPr>
        <w:instrText xml:space="preserve"> PAGEREF _Toc27600272 \h </w:instrText>
      </w:r>
      <w:r>
        <w:rPr>
          <w:noProof/>
        </w:rPr>
      </w:r>
      <w:r>
        <w:rPr>
          <w:noProof/>
        </w:rPr>
        <w:fldChar w:fldCharType="separate"/>
      </w:r>
      <w:r>
        <w:rPr>
          <w:noProof/>
        </w:rPr>
        <w:t>5</w:t>
      </w:r>
      <w:r>
        <w:rPr>
          <w:noProof/>
        </w:rPr>
        <w:fldChar w:fldCharType="end"/>
      </w:r>
    </w:p>
    <w:p w14:paraId="442E6495" w14:textId="6E4FFBD7" w:rsidR="00F06009" w:rsidRDefault="00F06009">
      <w:pPr>
        <w:pStyle w:val="TOC3"/>
        <w:rPr>
          <w:rFonts w:asciiTheme="minorHAnsi" w:eastAsiaTheme="minorEastAsia" w:hAnsiTheme="minorHAnsi" w:cstheme="minorBidi"/>
          <w:noProof/>
          <w:sz w:val="22"/>
        </w:rPr>
      </w:pPr>
      <w:r>
        <w:rPr>
          <w:noProof/>
        </w:rPr>
        <w:t>States doing energy storage initiatives.  Examples:  Arizona, Maryland, Oregon and California</w:t>
      </w:r>
      <w:r>
        <w:rPr>
          <w:noProof/>
        </w:rPr>
        <w:tab/>
      </w:r>
      <w:r>
        <w:rPr>
          <w:noProof/>
        </w:rPr>
        <w:fldChar w:fldCharType="begin"/>
      </w:r>
      <w:r>
        <w:rPr>
          <w:noProof/>
        </w:rPr>
        <w:instrText xml:space="preserve"> PAGEREF _Toc27600273 \h </w:instrText>
      </w:r>
      <w:r>
        <w:rPr>
          <w:noProof/>
        </w:rPr>
      </w:r>
      <w:r>
        <w:rPr>
          <w:noProof/>
        </w:rPr>
        <w:fldChar w:fldCharType="separate"/>
      </w:r>
      <w:r>
        <w:rPr>
          <w:noProof/>
        </w:rPr>
        <w:t>5</w:t>
      </w:r>
      <w:r>
        <w:rPr>
          <w:noProof/>
        </w:rPr>
        <w:fldChar w:fldCharType="end"/>
      </w:r>
    </w:p>
    <w:p w14:paraId="42D5778E" w14:textId="7C8A03AD" w:rsidR="00F06009" w:rsidRDefault="00F06009">
      <w:pPr>
        <w:pStyle w:val="TOC3"/>
        <w:rPr>
          <w:rFonts w:asciiTheme="minorHAnsi" w:eastAsiaTheme="minorEastAsia" w:hAnsiTheme="minorHAnsi" w:cstheme="minorBidi"/>
          <w:noProof/>
          <w:sz w:val="22"/>
        </w:rPr>
      </w:pPr>
      <w:r>
        <w:rPr>
          <w:noProof/>
        </w:rPr>
        <w:t>More State examples:   Massachusetts and Washington</w:t>
      </w:r>
      <w:r>
        <w:rPr>
          <w:noProof/>
        </w:rPr>
        <w:tab/>
      </w:r>
      <w:r>
        <w:rPr>
          <w:noProof/>
        </w:rPr>
        <w:fldChar w:fldCharType="begin"/>
      </w:r>
      <w:r>
        <w:rPr>
          <w:noProof/>
        </w:rPr>
        <w:instrText xml:space="preserve"> PAGEREF _Toc27600274 \h </w:instrText>
      </w:r>
      <w:r>
        <w:rPr>
          <w:noProof/>
        </w:rPr>
      </w:r>
      <w:r>
        <w:rPr>
          <w:noProof/>
        </w:rPr>
        <w:fldChar w:fldCharType="separate"/>
      </w:r>
      <w:r>
        <w:rPr>
          <w:noProof/>
        </w:rPr>
        <w:t>6</w:t>
      </w:r>
      <w:r>
        <w:rPr>
          <w:noProof/>
        </w:rPr>
        <w:fldChar w:fldCharType="end"/>
      </w:r>
    </w:p>
    <w:p w14:paraId="12584ABF" w14:textId="02CF522E" w:rsidR="00F06009" w:rsidRDefault="00F06009">
      <w:pPr>
        <w:pStyle w:val="TOC3"/>
        <w:rPr>
          <w:rFonts w:asciiTheme="minorHAnsi" w:eastAsiaTheme="minorEastAsia" w:hAnsiTheme="minorHAnsi" w:cstheme="minorBidi"/>
          <w:noProof/>
          <w:sz w:val="22"/>
        </w:rPr>
      </w:pPr>
      <w:r>
        <w:rPr>
          <w:noProof/>
        </w:rPr>
        <w:t>States setting mandates for installation of energy storage capacity</w:t>
      </w:r>
      <w:r>
        <w:rPr>
          <w:noProof/>
        </w:rPr>
        <w:tab/>
      </w:r>
      <w:r>
        <w:rPr>
          <w:noProof/>
        </w:rPr>
        <w:fldChar w:fldCharType="begin"/>
      </w:r>
      <w:r>
        <w:rPr>
          <w:noProof/>
        </w:rPr>
        <w:instrText xml:space="preserve"> PAGEREF _Toc27600275 \h </w:instrText>
      </w:r>
      <w:r>
        <w:rPr>
          <w:noProof/>
        </w:rPr>
      </w:r>
      <w:r>
        <w:rPr>
          <w:noProof/>
        </w:rPr>
        <w:fldChar w:fldCharType="separate"/>
      </w:r>
      <w:r>
        <w:rPr>
          <w:noProof/>
        </w:rPr>
        <w:t>6</w:t>
      </w:r>
      <w:r>
        <w:rPr>
          <w:noProof/>
        </w:rPr>
        <w:fldChar w:fldCharType="end"/>
      </w:r>
    </w:p>
    <w:p w14:paraId="603831CA" w14:textId="06311DA1" w:rsidR="00F06009" w:rsidRDefault="00F06009">
      <w:pPr>
        <w:pStyle w:val="TOC2"/>
        <w:rPr>
          <w:rFonts w:asciiTheme="minorHAnsi" w:eastAsiaTheme="minorEastAsia" w:hAnsiTheme="minorHAnsi" w:cstheme="minorBidi"/>
          <w:noProof/>
          <w:sz w:val="22"/>
        </w:rPr>
      </w:pPr>
      <w:r>
        <w:rPr>
          <w:noProof/>
        </w:rPr>
        <w:t>3.  Private sector already solving the technical problems</w:t>
      </w:r>
      <w:r>
        <w:rPr>
          <w:noProof/>
        </w:rPr>
        <w:tab/>
      </w:r>
      <w:r>
        <w:rPr>
          <w:noProof/>
        </w:rPr>
        <w:fldChar w:fldCharType="begin"/>
      </w:r>
      <w:r>
        <w:rPr>
          <w:noProof/>
        </w:rPr>
        <w:instrText xml:space="preserve"> PAGEREF _Toc27600276 \h </w:instrText>
      </w:r>
      <w:r>
        <w:rPr>
          <w:noProof/>
        </w:rPr>
      </w:r>
      <w:r>
        <w:rPr>
          <w:noProof/>
        </w:rPr>
        <w:fldChar w:fldCharType="separate"/>
      </w:r>
      <w:r>
        <w:rPr>
          <w:noProof/>
        </w:rPr>
        <w:t>6</w:t>
      </w:r>
      <w:r>
        <w:rPr>
          <w:noProof/>
        </w:rPr>
        <w:fldChar w:fldCharType="end"/>
      </w:r>
    </w:p>
    <w:p w14:paraId="66DAF942" w14:textId="35863E4D" w:rsidR="00F06009" w:rsidRDefault="00F06009">
      <w:pPr>
        <w:pStyle w:val="TOC3"/>
        <w:rPr>
          <w:rFonts w:asciiTheme="minorHAnsi" w:eastAsiaTheme="minorEastAsia" w:hAnsiTheme="minorHAnsi" w:cstheme="minorBidi"/>
          <w:noProof/>
          <w:sz w:val="22"/>
        </w:rPr>
      </w:pPr>
      <w:r>
        <w:rPr>
          <w:noProof/>
        </w:rPr>
        <w:t>Status Quo is shifting toward battery energy storage, cost is falling significantly, mass production is happening and commercial usage is increasing</w:t>
      </w:r>
      <w:r>
        <w:rPr>
          <w:noProof/>
        </w:rPr>
        <w:tab/>
      </w:r>
      <w:r>
        <w:rPr>
          <w:noProof/>
        </w:rPr>
        <w:fldChar w:fldCharType="begin"/>
      </w:r>
      <w:r>
        <w:rPr>
          <w:noProof/>
        </w:rPr>
        <w:instrText xml:space="preserve"> PAGEREF _Toc27600277 \h </w:instrText>
      </w:r>
      <w:r>
        <w:rPr>
          <w:noProof/>
        </w:rPr>
      </w:r>
      <w:r>
        <w:rPr>
          <w:noProof/>
        </w:rPr>
        <w:fldChar w:fldCharType="separate"/>
      </w:r>
      <w:r>
        <w:rPr>
          <w:noProof/>
        </w:rPr>
        <w:t>6</w:t>
      </w:r>
      <w:r>
        <w:rPr>
          <w:noProof/>
        </w:rPr>
        <w:fldChar w:fldCharType="end"/>
      </w:r>
    </w:p>
    <w:p w14:paraId="799941DF" w14:textId="0CE0DEB5" w:rsidR="00F06009" w:rsidRDefault="00F06009">
      <w:pPr>
        <w:pStyle w:val="TOC2"/>
        <w:rPr>
          <w:rFonts w:asciiTheme="minorHAnsi" w:eastAsiaTheme="minorEastAsia" w:hAnsiTheme="minorHAnsi" w:cstheme="minorBidi"/>
          <w:noProof/>
          <w:sz w:val="22"/>
        </w:rPr>
      </w:pPr>
      <w:r>
        <w:rPr>
          <w:noProof/>
        </w:rPr>
        <w:t>SIGNIFICANCE /HARMS</w:t>
      </w:r>
      <w:r>
        <w:rPr>
          <w:noProof/>
        </w:rPr>
        <w:tab/>
      </w:r>
      <w:r>
        <w:rPr>
          <w:noProof/>
        </w:rPr>
        <w:fldChar w:fldCharType="begin"/>
      </w:r>
      <w:r>
        <w:rPr>
          <w:noProof/>
        </w:rPr>
        <w:instrText xml:space="preserve"> PAGEREF _Toc27600278 \h </w:instrText>
      </w:r>
      <w:r>
        <w:rPr>
          <w:noProof/>
        </w:rPr>
      </w:r>
      <w:r>
        <w:rPr>
          <w:noProof/>
        </w:rPr>
        <w:fldChar w:fldCharType="separate"/>
      </w:r>
      <w:r>
        <w:rPr>
          <w:noProof/>
        </w:rPr>
        <w:t>7</w:t>
      </w:r>
      <w:r>
        <w:rPr>
          <w:noProof/>
        </w:rPr>
        <w:fldChar w:fldCharType="end"/>
      </w:r>
    </w:p>
    <w:p w14:paraId="0781139B" w14:textId="7B684B24" w:rsidR="00F06009" w:rsidRDefault="00F06009">
      <w:pPr>
        <w:pStyle w:val="TOC2"/>
        <w:rPr>
          <w:rFonts w:asciiTheme="minorHAnsi" w:eastAsiaTheme="minorEastAsia" w:hAnsiTheme="minorHAnsi" w:cstheme="minorBidi"/>
          <w:noProof/>
          <w:sz w:val="22"/>
        </w:rPr>
      </w:pPr>
      <w:r>
        <w:rPr>
          <w:noProof/>
        </w:rPr>
        <w:t>1.  No harm from fossil fuels – so no urgency for renewables</w:t>
      </w:r>
      <w:r>
        <w:rPr>
          <w:noProof/>
        </w:rPr>
        <w:tab/>
      </w:r>
      <w:r>
        <w:rPr>
          <w:noProof/>
        </w:rPr>
        <w:fldChar w:fldCharType="begin"/>
      </w:r>
      <w:r>
        <w:rPr>
          <w:noProof/>
        </w:rPr>
        <w:instrText xml:space="preserve"> PAGEREF _Toc27600279 \h </w:instrText>
      </w:r>
      <w:r>
        <w:rPr>
          <w:noProof/>
        </w:rPr>
      </w:r>
      <w:r>
        <w:rPr>
          <w:noProof/>
        </w:rPr>
        <w:fldChar w:fldCharType="separate"/>
      </w:r>
      <w:r>
        <w:rPr>
          <w:noProof/>
        </w:rPr>
        <w:t>7</w:t>
      </w:r>
      <w:r>
        <w:rPr>
          <w:noProof/>
        </w:rPr>
        <w:fldChar w:fldCharType="end"/>
      </w:r>
    </w:p>
    <w:p w14:paraId="7DD9E411" w14:textId="51AB041E" w:rsidR="00F06009" w:rsidRDefault="00F06009">
      <w:pPr>
        <w:pStyle w:val="TOC3"/>
        <w:rPr>
          <w:rFonts w:asciiTheme="minorHAnsi" w:eastAsiaTheme="minorEastAsia" w:hAnsiTheme="minorHAnsi" w:cstheme="minorBidi"/>
          <w:noProof/>
          <w:sz w:val="22"/>
        </w:rPr>
      </w:pPr>
      <w:r>
        <w:rPr>
          <w:noProof/>
        </w:rPr>
        <w:t>Fossil fuels, by improving economic growth, give us better capacity to improve the environment long-term</w:t>
      </w:r>
      <w:r>
        <w:rPr>
          <w:noProof/>
        </w:rPr>
        <w:tab/>
      </w:r>
      <w:r>
        <w:rPr>
          <w:noProof/>
        </w:rPr>
        <w:fldChar w:fldCharType="begin"/>
      </w:r>
      <w:r>
        <w:rPr>
          <w:noProof/>
        </w:rPr>
        <w:instrText xml:space="preserve"> PAGEREF _Toc27600280 \h </w:instrText>
      </w:r>
      <w:r>
        <w:rPr>
          <w:noProof/>
        </w:rPr>
      </w:r>
      <w:r>
        <w:rPr>
          <w:noProof/>
        </w:rPr>
        <w:fldChar w:fldCharType="separate"/>
      </w:r>
      <w:r>
        <w:rPr>
          <w:noProof/>
        </w:rPr>
        <w:t>7</w:t>
      </w:r>
      <w:r>
        <w:rPr>
          <w:noProof/>
        </w:rPr>
        <w:fldChar w:fldCharType="end"/>
      </w:r>
    </w:p>
    <w:p w14:paraId="2B0F5A4F" w14:textId="7B919640" w:rsidR="00F06009" w:rsidRDefault="00F06009">
      <w:pPr>
        <w:pStyle w:val="TOC3"/>
        <w:rPr>
          <w:rFonts w:asciiTheme="minorHAnsi" w:eastAsiaTheme="minorEastAsia" w:hAnsiTheme="minorHAnsi" w:cstheme="minorBidi"/>
          <w:noProof/>
          <w:sz w:val="22"/>
        </w:rPr>
      </w:pPr>
      <w:r>
        <w:rPr>
          <w:noProof/>
        </w:rPr>
        <w:t>Fossil fuels protect us from the impacts of climate change and save lives</w:t>
      </w:r>
      <w:r>
        <w:rPr>
          <w:noProof/>
        </w:rPr>
        <w:tab/>
      </w:r>
      <w:r>
        <w:rPr>
          <w:noProof/>
        </w:rPr>
        <w:fldChar w:fldCharType="begin"/>
      </w:r>
      <w:r>
        <w:rPr>
          <w:noProof/>
        </w:rPr>
        <w:instrText xml:space="preserve"> PAGEREF _Toc27600281 \h </w:instrText>
      </w:r>
      <w:r>
        <w:rPr>
          <w:noProof/>
        </w:rPr>
      </w:r>
      <w:r>
        <w:rPr>
          <w:noProof/>
        </w:rPr>
        <w:fldChar w:fldCharType="separate"/>
      </w:r>
      <w:r>
        <w:rPr>
          <w:noProof/>
        </w:rPr>
        <w:t>7</w:t>
      </w:r>
      <w:r>
        <w:rPr>
          <w:noProof/>
        </w:rPr>
        <w:fldChar w:fldCharType="end"/>
      </w:r>
    </w:p>
    <w:p w14:paraId="0708658A" w14:textId="05FA8BB5" w:rsidR="00F06009" w:rsidRDefault="00F06009">
      <w:pPr>
        <w:pStyle w:val="TOC3"/>
        <w:rPr>
          <w:rFonts w:asciiTheme="minorHAnsi" w:eastAsiaTheme="minorEastAsia" w:hAnsiTheme="minorHAnsi" w:cstheme="minorBidi"/>
          <w:noProof/>
          <w:sz w:val="22"/>
        </w:rPr>
      </w:pPr>
      <w:r>
        <w:rPr>
          <w:noProof/>
        </w:rPr>
        <w:t>CO2 growth is insignificant and so are its impacts.  And fossil fuels are better for protecting us from its impacts anyway</w:t>
      </w:r>
      <w:r>
        <w:rPr>
          <w:noProof/>
        </w:rPr>
        <w:tab/>
      </w:r>
      <w:r>
        <w:rPr>
          <w:noProof/>
        </w:rPr>
        <w:fldChar w:fldCharType="begin"/>
      </w:r>
      <w:r>
        <w:rPr>
          <w:noProof/>
        </w:rPr>
        <w:instrText xml:space="preserve"> PAGEREF _Toc27600282 \h </w:instrText>
      </w:r>
      <w:r>
        <w:rPr>
          <w:noProof/>
        </w:rPr>
      </w:r>
      <w:r>
        <w:rPr>
          <w:noProof/>
        </w:rPr>
        <w:fldChar w:fldCharType="separate"/>
      </w:r>
      <w:r>
        <w:rPr>
          <w:noProof/>
        </w:rPr>
        <w:t>7</w:t>
      </w:r>
      <w:r>
        <w:rPr>
          <w:noProof/>
        </w:rPr>
        <w:fldChar w:fldCharType="end"/>
      </w:r>
    </w:p>
    <w:p w14:paraId="682C14A1" w14:textId="2CFF358A" w:rsidR="00F06009" w:rsidRDefault="00F06009">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_Toc27600283 \h </w:instrText>
      </w:r>
      <w:r>
        <w:rPr>
          <w:noProof/>
        </w:rPr>
      </w:r>
      <w:r>
        <w:rPr>
          <w:noProof/>
        </w:rPr>
        <w:fldChar w:fldCharType="separate"/>
      </w:r>
      <w:r>
        <w:rPr>
          <w:noProof/>
        </w:rPr>
        <w:t>8</w:t>
      </w:r>
      <w:r>
        <w:rPr>
          <w:noProof/>
        </w:rPr>
        <w:fldChar w:fldCharType="end"/>
      </w:r>
    </w:p>
    <w:p w14:paraId="7E2058D9" w14:textId="2A1F870B" w:rsidR="00F06009" w:rsidRDefault="00F06009">
      <w:pPr>
        <w:pStyle w:val="TOC2"/>
        <w:rPr>
          <w:rFonts w:asciiTheme="minorHAnsi" w:eastAsiaTheme="minorEastAsia" w:hAnsiTheme="minorHAnsi" w:cstheme="minorBidi"/>
          <w:noProof/>
          <w:sz w:val="22"/>
        </w:rPr>
      </w:pPr>
      <w:r>
        <w:rPr>
          <w:noProof/>
        </w:rPr>
        <w:t>1.   Request for subsidies proves plan will fail</w:t>
      </w:r>
      <w:r>
        <w:rPr>
          <w:noProof/>
        </w:rPr>
        <w:tab/>
      </w:r>
      <w:r>
        <w:rPr>
          <w:noProof/>
        </w:rPr>
        <w:fldChar w:fldCharType="begin"/>
      </w:r>
      <w:r>
        <w:rPr>
          <w:noProof/>
        </w:rPr>
        <w:instrText xml:space="preserve"> PAGEREF _Toc27600284 \h </w:instrText>
      </w:r>
      <w:r>
        <w:rPr>
          <w:noProof/>
        </w:rPr>
      </w:r>
      <w:r>
        <w:rPr>
          <w:noProof/>
        </w:rPr>
        <w:fldChar w:fldCharType="separate"/>
      </w:r>
      <w:r>
        <w:rPr>
          <w:noProof/>
        </w:rPr>
        <w:t>8</w:t>
      </w:r>
      <w:r>
        <w:rPr>
          <w:noProof/>
        </w:rPr>
        <w:fldChar w:fldCharType="end"/>
      </w:r>
    </w:p>
    <w:p w14:paraId="39FD8068" w14:textId="7B6BC031" w:rsidR="00F06009" w:rsidRDefault="00F06009">
      <w:pPr>
        <w:pStyle w:val="TOC3"/>
        <w:rPr>
          <w:rFonts w:asciiTheme="minorHAnsi" w:eastAsiaTheme="minorEastAsia" w:hAnsiTheme="minorHAnsi" w:cstheme="minorBidi"/>
          <w:noProof/>
          <w:sz w:val="22"/>
        </w:rPr>
      </w:pPr>
      <w:r>
        <w:rPr>
          <w:noProof/>
        </w:rPr>
        <w:lastRenderedPageBreak/>
        <w:t>AFF’s belief that their product needs federal help proves it’s a bad idea.  If they were a good idea, private investors would fund them adequately</w:t>
      </w:r>
      <w:r>
        <w:rPr>
          <w:noProof/>
        </w:rPr>
        <w:tab/>
      </w:r>
      <w:r>
        <w:rPr>
          <w:noProof/>
        </w:rPr>
        <w:fldChar w:fldCharType="begin"/>
      </w:r>
      <w:r>
        <w:rPr>
          <w:noProof/>
        </w:rPr>
        <w:instrText xml:space="preserve"> PAGEREF _Toc27600285 \h </w:instrText>
      </w:r>
      <w:r>
        <w:rPr>
          <w:noProof/>
        </w:rPr>
      </w:r>
      <w:r>
        <w:rPr>
          <w:noProof/>
        </w:rPr>
        <w:fldChar w:fldCharType="separate"/>
      </w:r>
      <w:r>
        <w:rPr>
          <w:noProof/>
        </w:rPr>
        <w:t>8</w:t>
      </w:r>
      <w:r>
        <w:rPr>
          <w:noProof/>
        </w:rPr>
        <w:fldChar w:fldCharType="end"/>
      </w:r>
    </w:p>
    <w:p w14:paraId="4D33EE1F" w14:textId="28B2263F" w:rsidR="00F06009" w:rsidRDefault="00F06009">
      <w:pPr>
        <w:pStyle w:val="TOC2"/>
        <w:rPr>
          <w:rFonts w:asciiTheme="minorHAnsi" w:eastAsiaTheme="minorEastAsia" w:hAnsiTheme="minorHAnsi" w:cstheme="minorBidi"/>
          <w:noProof/>
          <w:sz w:val="22"/>
        </w:rPr>
      </w:pPr>
      <w:r>
        <w:rPr>
          <w:noProof/>
        </w:rPr>
        <w:t>2.  Duplication and fragmentation</w:t>
      </w:r>
      <w:r>
        <w:rPr>
          <w:noProof/>
        </w:rPr>
        <w:tab/>
      </w:r>
      <w:r>
        <w:rPr>
          <w:noProof/>
        </w:rPr>
        <w:fldChar w:fldCharType="begin"/>
      </w:r>
      <w:r>
        <w:rPr>
          <w:noProof/>
        </w:rPr>
        <w:instrText xml:space="preserve"> PAGEREF _Toc27600286 \h </w:instrText>
      </w:r>
      <w:r>
        <w:rPr>
          <w:noProof/>
        </w:rPr>
      </w:r>
      <w:r>
        <w:rPr>
          <w:noProof/>
        </w:rPr>
        <w:fldChar w:fldCharType="separate"/>
      </w:r>
      <w:r>
        <w:rPr>
          <w:noProof/>
        </w:rPr>
        <w:t>8</w:t>
      </w:r>
      <w:r>
        <w:rPr>
          <w:noProof/>
        </w:rPr>
        <w:fldChar w:fldCharType="end"/>
      </w:r>
    </w:p>
    <w:p w14:paraId="5C42FB05" w14:textId="33917D46" w:rsidR="00F06009" w:rsidRDefault="00F06009">
      <w:pPr>
        <w:pStyle w:val="TOC3"/>
        <w:rPr>
          <w:rFonts w:asciiTheme="minorHAnsi" w:eastAsiaTheme="minorEastAsia" w:hAnsiTheme="minorHAnsi" w:cstheme="minorBidi"/>
          <w:noProof/>
          <w:sz w:val="22"/>
        </w:rPr>
      </w:pPr>
      <w:r>
        <w:rPr>
          <w:noProof/>
        </w:rPr>
        <w:t>Link:  Already 39 programs doing the same thing</w:t>
      </w:r>
      <w:r>
        <w:rPr>
          <w:noProof/>
        </w:rPr>
        <w:tab/>
      </w:r>
      <w:r>
        <w:rPr>
          <w:noProof/>
        </w:rPr>
        <w:fldChar w:fldCharType="begin"/>
      </w:r>
      <w:r>
        <w:rPr>
          <w:noProof/>
        </w:rPr>
        <w:instrText xml:space="preserve"> PAGEREF _Toc27600287 \h </w:instrText>
      </w:r>
      <w:r>
        <w:rPr>
          <w:noProof/>
        </w:rPr>
      </w:r>
      <w:r>
        <w:rPr>
          <w:noProof/>
        </w:rPr>
        <w:fldChar w:fldCharType="separate"/>
      </w:r>
      <w:r>
        <w:rPr>
          <w:noProof/>
        </w:rPr>
        <w:t>8</w:t>
      </w:r>
      <w:r>
        <w:rPr>
          <w:noProof/>
        </w:rPr>
        <w:fldChar w:fldCharType="end"/>
      </w:r>
    </w:p>
    <w:p w14:paraId="10A4CDE7" w14:textId="088F5CF3" w:rsidR="00F06009" w:rsidRDefault="00F06009">
      <w:pPr>
        <w:pStyle w:val="TOC3"/>
        <w:rPr>
          <w:rFonts w:asciiTheme="minorHAnsi" w:eastAsiaTheme="minorEastAsia" w:hAnsiTheme="minorHAnsi" w:cstheme="minorBidi"/>
          <w:noProof/>
          <w:sz w:val="22"/>
        </w:rPr>
      </w:pPr>
      <w:r>
        <w:rPr>
          <w:noProof/>
        </w:rPr>
        <w:t>A/T "Adding another program = better results" – Duplication just wastes money.  Dept of Energy is already bogged down with duplication &amp; fragmentation</w:t>
      </w:r>
      <w:r>
        <w:rPr>
          <w:noProof/>
        </w:rPr>
        <w:tab/>
      </w:r>
      <w:r>
        <w:rPr>
          <w:noProof/>
        </w:rPr>
        <w:fldChar w:fldCharType="begin"/>
      </w:r>
      <w:r>
        <w:rPr>
          <w:noProof/>
        </w:rPr>
        <w:instrText xml:space="preserve"> PAGEREF _Toc27600288 \h </w:instrText>
      </w:r>
      <w:r>
        <w:rPr>
          <w:noProof/>
        </w:rPr>
      </w:r>
      <w:r>
        <w:rPr>
          <w:noProof/>
        </w:rPr>
        <w:fldChar w:fldCharType="separate"/>
      </w:r>
      <w:r>
        <w:rPr>
          <w:noProof/>
        </w:rPr>
        <w:t>8</w:t>
      </w:r>
      <w:r>
        <w:rPr>
          <w:noProof/>
        </w:rPr>
        <w:fldChar w:fldCharType="end"/>
      </w:r>
    </w:p>
    <w:p w14:paraId="1D7BDDA7" w14:textId="025D58DA" w:rsidR="00F06009" w:rsidRDefault="00F06009">
      <w:pPr>
        <w:pStyle w:val="TOC2"/>
        <w:rPr>
          <w:rFonts w:asciiTheme="minorHAnsi" w:eastAsiaTheme="minorEastAsia" w:hAnsiTheme="minorHAnsi" w:cstheme="minorBidi"/>
          <w:noProof/>
          <w:sz w:val="22"/>
        </w:rPr>
      </w:pPr>
      <w:r>
        <w:rPr>
          <w:noProof/>
        </w:rPr>
        <w:t>3.   Real barriers not solved</w:t>
      </w:r>
      <w:r>
        <w:rPr>
          <w:noProof/>
        </w:rPr>
        <w:tab/>
      </w:r>
      <w:r>
        <w:rPr>
          <w:noProof/>
        </w:rPr>
        <w:fldChar w:fldCharType="begin"/>
      </w:r>
      <w:r>
        <w:rPr>
          <w:noProof/>
        </w:rPr>
        <w:instrText xml:space="preserve"> PAGEREF _Toc27600289 \h </w:instrText>
      </w:r>
      <w:r>
        <w:rPr>
          <w:noProof/>
        </w:rPr>
      </w:r>
      <w:r>
        <w:rPr>
          <w:noProof/>
        </w:rPr>
        <w:fldChar w:fldCharType="separate"/>
      </w:r>
      <w:r>
        <w:rPr>
          <w:noProof/>
        </w:rPr>
        <w:t>9</w:t>
      </w:r>
      <w:r>
        <w:rPr>
          <w:noProof/>
        </w:rPr>
        <w:fldChar w:fldCharType="end"/>
      </w:r>
    </w:p>
    <w:p w14:paraId="33F31521" w14:textId="554E6966" w:rsidR="00F06009" w:rsidRDefault="00F06009">
      <w:pPr>
        <w:pStyle w:val="TOC3"/>
        <w:rPr>
          <w:rFonts w:asciiTheme="minorHAnsi" w:eastAsiaTheme="minorEastAsia" w:hAnsiTheme="minorHAnsi" w:cstheme="minorBidi"/>
          <w:noProof/>
          <w:sz w:val="22"/>
        </w:rPr>
      </w:pPr>
      <w:r>
        <w:rPr>
          <w:noProof/>
        </w:rPr>
        <w:t>Regulatory barriers slowing/blocking energy storage deployment</w:t>
      </w:r>
      <w:r>
        <w:rPr>
          <w:noProof/>
        </w:rPr>
        <w:tab/>
      </w:r>
      <w:r>
        <w:rPr>
          <w:noProof/>
        </w:rPr>
        <w:fldChar w:fldCharType="begin"/>
      </w:r>
      <w:r>
        <w:rPr>
          <w:noProof/>
        </w:rPr>
        <w:instrText xml:space="preserve"> PAGEREF _Toc27600290 \h </w:instrText>
      </w:r>
      <w:r>
        <w:rPr>
          <w:noProof/>
        </w:rPr>
      </w:r>
      <w:r>
        <w:rPr>
          <w:noProof/>
        </w:rPr>
        <w:fldChar w:fldCharType="separate"/>
      </w:r>
      <w:r>
        <w:rPr>
          <w:noProof/>
        </w:rPr>
        <w:t>9</w:t>
      </w:r>
      <w:r>
        <w:rPr>
          <w:noProof/>
        </w:rPr>
        <w:fldChar w:fldCharType="end"/>
      </w:r>
    </w:p>
    <w:p w14:paraId="0F7E5514" w14:textId="44A5CD34" w:rsidR="00F06009" w:rsidRDefault="00F06009">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_Toc27600291 \h </w:instrText>
      </w:r>
      <w:r>
        <w:rPr>
          <w:noProof/>
        </w:rPr>
      </w:r>
      <w:r>
        <w:rPr>
          <w:noProof/>
        </w:rPr>
        <w:fldChar w:fldCharType="separate"/>
      </w:r>
      <w:r>
        <w:rPr>
          <w:noProof/>
        </w:rPr>
        <w:t>9</w:t>
      </w:r>
      <w:r>
        <w:rPr>
          <w:noProof/>
        </w:rPr>
        <w:fldChar w:fldCharType="end"/>
      </w:r>
    </w:p>
    <w:p w14:paraId="7C929BAE" w14:textId="047E4D4F" w:rsidR="00F06009" w:rsidRDefault="00F06009">
      <w:pPr>
        <w:pStyle w:val="TOC2"/>
        <w:rPr>
          <w:rFonts w:asciiTheme="minorHAnsi" w:eastAsiaTheme="minorEastAsia" w:hAnsiTheme="minorHAnsi" w:cstheme="minorBidi"/>
          <w:noProof/>
          <w:sz w:val="22"/>
        </w:rPr>
      </w:pPr>
      <w:r w:rsidRPr="00596FF5">
        <w:rPr>
          <w:rFonts w:eastAsia="Arial"/>
          <w:noProof/>
        </w:rPr>
        <w:t>1.  Federal deficit</w:t>
      </w:r>
      <w:r>
        <w:rPr>
          <w:noProof/>
        </w:rPr>
        <w:tab/>
      </w:r>
      <w:r>
        <w:rPr>
          <w:noProof/>
        </w:rPr>
        <w:fldChar w:fldCharType="begin"/>
      </w:r>
      <w:r>
        <w:rPr>
          <w:noProof/>
        </w:rPr>
        <w:instrText xml:space="preserve"> PAGEREF _Toc27600292 \h </w:instrText>
      </w:r>
      <w:r>
        <w:rPr>
          <w:noProof/>
        </w:rPr>
      </w:r>
      <w:r>
        <w:rPr>
          <w:noProof/>
        </w:rPr>
        <w:fldChar w:fldCharType="separate"/>
      </w:r>
      <w:r>
        <w:rPr>
          <w:noProof/>
        </w:rPr>
        <w:t>9</w:t>
      </w:r>
      <w:r>
        <w:rPr>
          <w:noProof/>
        </w:rPr>
        <w:fldChar w:fldCharType="end"/>
      </w:r>
    </w:p>
    <w:p w14:paraId="1F6B63FD" w14:textId="211E2F5E" w:rsidR="00F06009" w:rsidRDefault="00F06009">
      <w:pPr>
        <w:pStyle w:val="TOC3"/>
        <w:rPr>
          <w:rFonts w:asciiTheme="minorHAnsi" w:eastAsiaTheme="minorEastAsia" w:hAnsiTheme="minorHAnsi" w:cstheme="minorBidi"/>
          <w:noProof/>
          <w:sz w:val="22"/>
        </w:rPr>
      </w:pPr>
      <w:r w:rsidRPr="00596FF5">
        <w:rPr>
          <w:rFonts w:eastAsia="Arial"/>
          <w:noProof/>
        </w:rPr>
        <w:t>Link:  Plan increases federal spending</w:t>
      </w:r>
      <w:r>
        <w:rPr>
          <w:noProof/>
        </w:rPr>
        <w:tab/>
      </w:r>
      <w:r>
        <w:rPr>
          <w:noProof/>
        </w:rPr>
        <w:fldChar w:fldCharType="begin"/>
      </w:r>
      <w:r>
        <w:rPr>
          <w:noProof/>
        </w:rPr>
        <w:instrText xml:space="preserve"> PAGEREF _Toc27600293 \h </w:instrText>
      </w:r>
      <w:r>
        <w:rPr>
          <w:noProof/>
        </w:rPr>
      </w:r>
      <w:r>
        <w:rPr>
          <w:noProof/>
        </w:rPr>
        <w:fldChar w:fldCharType="separate"/>
      </w:r>
      <w:r>
        <w:rPr>
          <w:noProof/>
        </w:rPr>
        <w:t>9</w:t>
      </w:r>
      <w:r>
        <w:rPr>
          <w:noProof/>
        </w:rPr>
        <w:fldChar w:fldCharType="end"/>
      </w:r>
    </w:p>
    <w:p w14:paraId="75E7AB76" w14:textId="3353401C" w:rsidR="00F06009" w:rsidRDefault="00F06009">
      <w:pPr>
        <w:pStyle w:val="TOC3"/>
        <w:rPr>
          <w:rFonts w:asciiTheme="minorHAnsi" w:eastAsiaTheme="minorEastAsia" w:hAnsiTheme="minorHAnsi" w:cstheme="minorBidi"/>
          <w:noProof/>
          <w:sz w:val="22"/>
        </w:rPr>
      </w:pPr>
      <w:r w:rsidRPr="00596FF5">
        <w:rPr>
          <w:rFonts w:eastAsia="Arial"/>
          <w:noProof/>
        </w:rPr>
        <w:t>Impact:   Every increase in the deficit hurts the economy</w:t>
      </w:r>
      <w:r>
        <w:rPr>
          <w:noProof/>
        </w:rPr>
        <w:tab/>
      </w:r>
      <w:r>
        <w:rPr>
          <w:noProof/>
        </w:rPr>
        <w:fldChar w:fldCharType="begin"/>
      </w:r>
      <w:r>
        <w:rPr>
          <w:noProof/>
        </w:rPr>
        <w:instrText xml:space="preserve"> PAGEREF _Toc27600294 \h </w:instrText>
      </w:r>
      <w:r>
        <w:rPr>
          <w:noProof/>
        </w:rPr>
      </w:r>
      <w:r>
        <w:rPr>
          <w:noProof/>
        </w:rPr>
        <w:fldChar w:fldCharType="separate"/>
      </w:r>
      <w:r>
        <w:rPr>
          <w:noProof/>
        </w:rPr>
        <w:t>9</w:t>
      </w:r>
      <w:r>
        <w:rPr>
          <w:noProof/>
        </w:rPr>
        <w:fldChar w:fldCharType="end"/>
      </w:r>
    </w:p>
    <w:p w14:paraId="53A9C3CE" w14:textId="23EE1538" w:rsidR="00F06009" w:rsidRDefault="00F06009">
      <w:pPr>
        <w:pStyle w:val="TOC2"/>
        <w:rPr>
          <w:rFonts w:asciiTheme="minorHAnsi" w:eastAsiaTheme="minorEastAsia" w:hAnsiTheme="minorHAnsi" w:cstheme="minorBidi"/>
          <w:noProof/>
          <w:sz w:val="22"/>
        </w:rPr>
      </w:pPr>
      <w:r>
        <w:rPr>
          <w:noProof/>
        </w:rPr>
        <w:t>2.   Research &amp; Technology set-back</w:t>
      </w:r>
      <w:r>
        <w:rPr>
          <w:noProof/>
        </w:rPr>
        <w:tab/>
      </w:r>
      <w:r>
        <w:rPr>
          <w:noProof/>
        </w:rPr>
        <w:fldChar w:fldCharType="begin"/>
      </w:r>
      <w:r>
        <w:rPr>
          <w:noProof/>
        </w:rPr>
        <w:instrText xml:space="preserve"> PAGEREF _Toc27600295 \h </w:instrText>
      </w:r>
      <w:r>
        <w:rPr>
          <w:noProof/>
        </w:rPr>
      </w:r>
      <w:r>
        <w:rPr>
          <w:noProof/>
        </w:rPr>
        <w:fldChar w:fldCharType="separate"/>
      </w:r>
      <w:r>
        <w:rPr>
          <w:noProof/>
        </w:rPr>
        <w:t>10</w:t>
      </w:r>
      <w:r>
        <w:rPr>
          <w:noProof/>
        </w:rPr>
        <w:fldChar w:fldCharType="end"/>
      </w:r>
    </w:p>
    <w:p w14:paraId="32C98C14" w14:textId="33944F9D" w:rsidR="00F06009" w:rsidRDefault="00F06009">
      <w:pPr>
        <w:pStyle w:val="TOC3"/>
        <w:rPr>
          <w:rFonts w:asciiTheme="minorHAnsi" w:eastAsiaTheme="minorEastAsia" w:hAnsiTheme="minorHAnsi" w:cstheme="minorBidi"/>
          <w:noProof/>
          <w:sz w:val="22"/>
        </w:rPr>
      </w:pPr>
      <w:r>
        <w:rPr>
          <w:noProof/>
        </w:rPr>
        <w:t>Link:  Federal assistance delays the arrival of better alternatives and ultimately sets back technological development</w:t>
      </w:r>
      <w:r>
        <w:rPr>
          <w:noProof/>
        </w:rPr>
        <w:tab/>
      </w:r>
      <w:r>
        <w:rPr>
          <w:noProof/>
        </w:rPr>
        <w:fldChar w:fldCharType="begin"/>
      </w:r>
      <w:r>
        <w:rPr>
          <w:noProof/>
        </w:rPr>
        <w:instrText xml:space="preserve"> PAGEREF _Toc27600296 \h </w:instrText>
      </w:r>
      <w:r>
        <w:rPr>
          <w:noProof/>
        </w:rPr>
      </w:r>
      <w:r>
        <w:rPr>
          <w:noProof/>
        </w:rPr>
        <w:fldChar w:fldCharType="separate"/>
      </w:r>
      <w:r>
        <w:rPr>
          <w:noProof/>
        </w:rPr>
        <w:t>10</w:t>
      </w:r>
      <w:r>
        <w:rPr>
          <w:noProof/>
        </w:rPr>
        <w:fldChar w:fldCharType="end"/>
      </w:r>
    </w:p>
    <w:p w14:paraId="790FB7B9" w14:textId="71DE1DE9" w:rsidR="00F06009" w:rsidRDefault="00F06009">
      <w:pPr>
        <w:pStyle w:val="TOC3"/>
        <w:rPr>
          <w:rFonts w:asciiTheme="minorHAnsi" w:eastAsiaTheme="minorEastAsia" w:hAnsiTheme="minorHAnsi" w:cstheme="minorBidi"/>
          <w:noProof/>
          <w:sz w:val="22"/>
        </w:rPr>
      </w:pPr>
      <w:r>
        <w:rPr>
          <w:noProof/>
        </w:rPr>
        <w:t>Impact:  Turn the AFF harms</w:t>
      </w:r>
      <w:r>
        <w:rPr>
          <w:noProof/>
        </w:rPr>
        <w:tab/>
      </w:r>
      <w:r>
        <w:rPr>
          <w:noProof/>
        </w:rPr>
        <w:fldChar w:fldCharType="begin"/>
      </w:r>
      <w:r>
        <w:rPr>
          <w:noProof/>
        </w:rPr>
        <w:instrText xml:space="preserve"> PAGEREF _Toc27600297 \h </w:instrText>
      </w:r>
      <w:r>
        <w:rPr>
          <w:noProof/>
        </w:rPr>
      </w:r>
      <w:r>
        <w:rPr>
          <w:noProof/>
        </w:rPr>
        <w:fldChar w:fldCharType="separate"/>
      </w:r>
      <w:r>
        <w:rPr>
          <w:noProof/>
        </w:rPr>
        <w:t>10</w:t>
      </w:r>
      <w:r>
        <w:rPr>
          <w:noProof/>
        </w:rPr>
        <w:fldChar w:fldCharType="end"/>
      </w:r>
    </w:p>
    <w:p w14:paraId="6B0839F4" w14:textId="01D4F902" w:rsidR="00F06009" w:rsidRDefault="00F06009">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_Toc27600298 \h </w:instrText>
      </w:r>
      <w:r>
        <w:rPr>
          <w:noProof/>
        </w:rPr>
      </w:r>
      <w:r>
        <w:rPr>
          <w:noProof/>
        </w:rPr>
        <w:fldChar w:fldCharType="separate"/>
      </w:r>
      <w:r>
        <w:rPr>
          <w:noProof/>
        </w:rPr>
        <w:t>11</w:t>
      </w:r>
      <w:r>
        <w:rPr>
          <w:noProof/>
        </w:rPr>
        <w:fldChar w:fldCharType="end"/>
      </w:r>
    </w:p>
    <w:p w14:paraId="5D7F073C" w14:textId="194D93A9" w:rsidR="00D462AA" w:rsidRDefault="00DA2F2D" w:rsidP="00303BC4">
      <w:pPr>
        <w:pStyle w:val="Title2"/>
      </w:pPr>
      <w:r>
        <w:rPr>
          <w:sz w:val="22"/>
        </w:rPr>
        <w:lastRenderedPageBreak/>
        <w:fldChar w:fldCharType="end"/>
      </w:r>
      <w:bookmarkStart w:id="1" w:name="_Toc27600256"/>
      <w:r w:rsidR="00EE1E8E">
        <w:t xml:space="preserve">Negative:  </w:t>
      </w:r>
      <w:r w:rsidR="00444333">
        <w:t>BEST Act</w:t>
      </w:r>
      <w:bookmarkEnd w:id="1"/>
    </w:p>
    <w:p w14:paraId="695A8D26" w14:textId="355092D9" w:rsidR="000A0557" w:rsidRDefault="003F5C4E" w:rsidP="00007079">
      <w:pPr>
        <w:pStyle w:val="Contention1"/>
      </w:pPr>
      <w:bookmarkStart w:id="2" w:name="_Toc27600257"/>
      <w:r>
        <w:t>DEFINITION</w:t>
      </w:r>
      <w:bookmarkEnd w:id="2"/>
    </w:p>
    <w:p w14:paraId="6F1E5DE1" w14:textId="1FC31325" w:rsidR="003F5C4E" w:rsidRDefault="003F5C4E" w:rsidP="003F5C4E">
      <w:pPr>
        <w:pStyle w:val="Contention2"/>
      </w:pPr>
      <w:bookmarkStart w:id="3" w:name="_Toc27600258"/>
      <w:r>
        <w:t>$300 million/year funding research on energy storage systems</w:t>
      </w:r>
      <w:bookmarkEnd w:id="3"/>
    </w:p>
    <w:p w14:paraId="4A00BC63" w14:textId="22F7732E" w:rsidR="003F5C4E" w:rsidRPr="003F5C4E" w:rsidRDefault="003F5C4E" w:rsidP="003F5C4E">
      <w:pPr>
        <w:pStyle w:val="Citation3"/>
      </w:pPr>
      <w:r w:rsidRPr="003F5C4E">
        <w:rPr>
          <w:u w:val="single"/>
        </w:rPr>
        <w:t>Karly Matthews 2019</w:t>
      </w:r>
      <w:r w:rsidRPr="003F5C4E">
        <w:t xml:space="preserve"> (Government Affairs Coordinator at American </w:t>
      </w:r>
      <w:r w:rsidRPr="003F5C4E">
        <w:rPr>
          <w:rStyle w:val="Emphasis"/>
          <w:i/>
          <w:iCs w:val="0"/>
        </w:rPr>
        <w:t>Conservation</w:t>
      </w:r>
      <w:r w:rsidRPr="003F5C4E">
        <w:t xml:space="preserve"> Coalition) 15 Sept 2019 “Let's Talk Legislation: The BEST Act Addresses Energy Storage” </w:t>
      </w:r>
      <w:hyperlink r:id="rId7" w:history="1">
        <w:r w:rsidRPr="003F5C4E">
          <w:rPr>
            <w:rStyle w:val="Hyperlink"/>
            <w:color w:val="auto"/>
            <w:u w:val="none"/>
          </w:rPr>
          <w:t>https://www.acc.eco/blog/2019/9/16/lets-talk-legislation-the-best-act-addresses-energy-storage</w:t>
        </w:r>
      </w:hyperlink>
    </w:p>
    <w:p w14:paraId="425C0BFC" w14:textId="00519EA1" w:rsidR="003F5C4E" w:rsidRPr="003F5C4E" w:rsidRDefault="003F5C4E" w:rsidP="003F5C4E">
      <w:pPr>
        <w:pStyle w:val="Evidence"/>
      </w:pPr>
      <w:r w:rsidRPr="003F5C4E">
        <w:t xml:space="preserve">The BEST Act, </w:t>
      </w:r>
      <w:hyperlink r:id="rId8" w:history="1">
        <w:r w:rsidRPr="003F5C4E">
          <w:rPr>
            <w:rStyle w:val="Hyperlink"/>
            <w:color w:val="000000"/>
            <w:u w:val="none"/>
          </w:rPr>
          <w:t>S.1602</w:t>
        </w:r>
      </w:hyperlink>
      <w:r w:rsidRPr="003F5C4E">
        <w:t xml:space="preserve"> and </w:t>
      </w:r>
      <w:hyperlink r:id="rId9" w:history="1">
        <w:r w:rsidRPr="003F5C4E">
          <w:rPr>
            <w:rStyle w:val="Hyperlink"/>
            <w:color w:val="000000"/>
            <w:u w:val="none"/>
          </w:rPr>
          <w:t>H.R.2986</w:t>
        </w:r>
      </w:hyperlink>
      <w:r w:rsidRPr="003F5C4E">
        <w:t xml:space="preserve">, was introduced by </w:t>
      </w:r>
      <w:hyperlink r:id="rId10" w:history="1">
        <w:r w:rsidRPr="003F5C4E">
          <w:rPr>
            <w:rStyle w:val="Hyperlink"/>
            <w:color w:val="000000"/>
            <w:u w:val="none"/>
          </w:rPr>
          <w:t>Senator Susan Collins</w:t>
        </w:r>
      </w:hyperlink>
      <w:r w:rsidRPr="003F5C4E">
        <w:t xml:space="preserve"> (R-ME) in May of this year. The bill authorizes $300 million to support innovation that would improve energy storage systems over the next five years and requires the Department of Energy to draft a ten-year plan to develop new technology.</w:t>
      </w:r>
    </w:p>
    <w:p w14:paraId="45F1D2E1" w14:textId="17B0813C" w:rsidR="00697B6D" w:rsidRDefault="006B53A4" w:rsidP="00007079">
      <w:pPr>
        <w:pStyle w:val="Contention1"/>
      </w:pPr>
      <w:bookmarkStart w:id="4" w:name="_Toc27600259"/>
      <w:r>
        <w:t>TOPICALITY</w:t>
      </w:r>
      <w:bookmarkEnd w:id="4"/>
    </w:p>
    <w:p w14:paraId="7B479A79" w14:textId="02C1DD8D" w:rsidR="00A53C52" w:rsidRDefault="00B569F7" w:rsidP="00A53C52">
      <w:pPr>
        <w:pStyle w:val="Contention1"/>
      </w:pPr>
      <w:bookmarkStart w:id="5" w:name="_Toc27600260"/>
      <w:r>
        <w:t>1</w:t>
      </w:r>
      <w:r w:rsidR="00A53C52">
        <w:t>.  No change in policy – Status Quo already does the plan</w:t>
      </w:r>
      <w:bookmarkEnd w:id="5"/>
      <w:r w:rsidR="00E85BEE">
        <w:t xml:space="preserve"> </w:t>
      </w:r>
    </w:p>
    <w:p w14:paraId="61A2663D" w14:textId="65DA7164" w:rsidR="00AD1A46" w:rsidRDefault="00AD1A46" w:rsidP="00AD1A46">
      <w:pPr>
        <w:pStyle w:val="Contention2"/>
      </w:pPr>
      <w:bookmarkStart w:id="6" w:name="_Toc27600261"/>
      <w:r>
        <w:t xml:space="preserve">Status Quo federal policy has been significant </w:t>
      </w:r>
      <w:r w:rsidR="00BB24E1">
        <w:t>funding</w:t>
      </w:r>
      <w:r>
        <w:t xml:space="preserve"> for energy storage</w:t>
      </w:r>
      <w:r w:rsidR="00BB24E1">
        <w:t xml:space="preserve"> research</w:t>
      </w:r>
      <w:r>
        <w:t xml:space="preserve"> since 2009</w:t>
      </w:r>
      <w:bookmarkEnd w:id="6"/>
    </w:p>
    <w:p w14:paraId="3BA8C834" w14:textId="369B349A" w:rsidR="00AD1A46" w:rsidRDefault="00AD1A46" w:rsidP="00AD1A46">
      <w:pPr>
        <w:pStyle w:val="Citation3"/>
      </w:pPr>
      <w:r w:rsidRPr="00AD1A46">
        <w:rPr>
          <w:u w:val="single"/>
        </w:rPr>
        <w:t xml:space="preserve">Energy Advisory Committee of the US </w:t>
      </w:r>
      <w:proofErr w:type="spellStart"/>
      <w:r w:rsidRPr="00AD1A46">
        <w:rPr>
          <w:u w:val="single"/>
        </w:rPr>
        <w:t>Dept</w:t>
      </w:r>
      <w:proofErr w:type="spellEnd"/>
      <w:r w:rsidRPr="00AD1A46">
        <w:rPr>
          <w:u w:val="single"/>
        </w:rPr>
        <w:t xml:space="preserve"> of Energy 2011</w:t>
      </w:r>
      <w:r>
        <w:t xml:space="preserve">. “Energy Storage Activities in the United States Electricity Grid” May 2011 </w:t>
      </w:r>
      <w:hyperlink r:id="rId11" w:history="1">
        <w:r>
          <w:rPr>
            <w:rStyle w:val="Hyperlink"/>
          </w:rPr>
          <w:t>https://www.sandia.gov/ess-ssl/docs/other/FINAL_DOE_Report-Storage_Activities_5-1-11.pdf</w:t>
        </w:r>
      </w:hyperlink>
    </w:p>
    <w:p w14:paraId="086DDAB4" w14:textId="52F4D3C7" w:rsidR="00AD1A46" w:rsidRDefault="00AD1A46" w:rsidP="00AD1A46">
      <w:pPr>
        <w:pStyle w:val="Evidence"/>
      </w:pPr>
      <w:r>
        <w:t xml:space="preserve">The U.S. Department of Energy (DOE) launched its significant energy storage program in 2009 as part of funding from the American Recovery and Reinvestment Act (ARRA). ARRA provided $185 million in federal matching funds to support energy storage projects with a total value of $772 million. These projects generated 537 MW of new storage systems to </w:t>
      </w:r>
      <w:proofErr w:type="gramStart"/>
      <w:r>
        <w:t>be added</w:t>
      </w:r>
      <w:proofErr w:type="gramEnd"/>
      <w:r>
        <w:t xml:space="preserve"> to the grid. A breakdown of ARRA-funded projects, organized by project category, </w:t>
      </w:r>
      <w:proofErr w:type="gramStart"/>
      <w:r>
        <w:t>is shown</w:t>
      </w:r>
      <w:proofErr w:type="gramEnd"/>
      <w:r>
        <w:t xml:space="preserve"> below. Appendix </w:t>
      </w:r>
      <w:proofErr w:type="gramStart"/>
      <w:r>
        <w:t>A</w:t>
      </w:r>
      <w:proofErr w:type="gramEnd"/>
      <w:r>
        <w:t xml:space="preserve"> (SNL ESS 2010) provides a complete listing of ARRA-funded projects.</w:t>
      </w:r>
    </w:p>
    <w:p w14:paraId="1F2653BA" w14:textId="11D3E26D" w:rsidR="00AD1A46" w:rsidRDefault="00BB24E1" w:rsidP="00BB24E1">
      <w:pPr>
        <w:pStyle w:val="Contention2"/>
      </w:pPr>
      <w:bookmarkStart w:id="7" w:name="_Toc27600262"/>
      <w:r>
        <w:t xml:space="preserve">Status Quo has 39 federal programs on energy storage research, run by </w:t>
      </w:r>
      <w:proofErr w:type="gramStart"/>
      <w:r>
        <w:t>6</w:t>
      </w:r>
      <w:proofErr w:type="gramEnd"/>
      <w:r>
        <w:t xml:space="preserve"> different agencies</w:t>
      </w:r>
      <w:bookmarkEnd w:id="7"/>
    </w:p>
    <w:p w14:paraId="08A238F5" w14:textId="1E11D0D4" w:rsidR="00BB24E1" w:rsidRPr="00BB24E1" w:rsidRDefault="00BB24E1" w:rsidP="00BB24E1">
      <w:pPr>
        <w:pStyle w:val="Citation3"/>
      </w:pPr>
      <w:proofErr w:type="gramStart"/>
      <w:r w:rsidRPr="00BB24E1">
        <w:t xml:space="preserve">Prof. David Hart 2019 (senior fellow at the Information Technology and Innovation Foundation (ITIF) and professor of public policy and director of the Center for Science, Technology, and Innovation Policy at George Mason University’s </w:t>
      </w:r>
      <w:proofErr w:type="spellStart"/>
      <w:r w:rsidRPr="00BB24E1">
        <w:t>Schar</w:t>
      </w:r>
      <w:proofErr w:type="spellEnd"/>
      <w:r w:rsidRPr="00BB24E1">
        <w:t xml:space="preserve"> School of Policy and Government. ) 27 March 2019 “Energy Storage RD&amp;D in the Fiscal Year 2020 Budget Proposal” </w:t>
      </w:r>
      <w:hyperlink r:id="rId12" w:history="1">
        <w:r w:rsidRPr="00BB24E1">
          <w:rPr>
            <w:rStyle w:val="Hyperlink"/>
            <w:color w:val="auto"/>
            <w:u w:val="none"/>
          </w:rPr>
          <w:t>https://itif.org/publications/2019/03/27/energy-storage-rdd-fiscal-year-2020-budget-proposal</w:t>
        </w:r>
      </w:hyperlink>
      <w:proofErr w:type="gramEnd"/>
    </w:p>
    <w:p w14:paraId="7B2757EA" w14:textId="78F36766" w:rsidR="00BB24E1" w:rsidRDefault="00BB24E1" w:rsidP="00BB24E1">
      <w:pPr>
        <w:pStyle w:val="Evidence"/>
      </w:pPr>
      <w:r>
        <w:rPr>
          <w:shd w:val="clear" w:color="auto" w:fill="FFFFFF"/>
        </w:rPr>
        <w:t xml:space="preserve">Energy storage spans diverse technologies and applications, so federal RD&amp;D relevant to it </w:t>
      </w:r>
      <w:proofErr w:type="gramStart"/>
      <w:r>
        <w:rPr>
          <w:shd w:val="clear" w:color="auto" w:fill="FFFFFF"/>
        </w:rPr>
        <w:t>is dispersed</w:t>
      </w:r>
      <w:proofErr w:type="gramEnd"/>
      <w:r>
        <w:rPr>
          <w:shd w:val="clear" w:color="auto" w:fill="FFFFFF"/>
        </w:rPr>
        <w:t xml:space="preserve"> across the government. An August 2012 report from the Government Accountability Office identified 39 energy storage initiatives in six agencies. Within the Department of Energy (DOE), which carries out the bulk of this work, several major units are involved, which is also case in the Department of Defense (DOD).</w:t>
      </w:r>
    </w:p>
    <w:p w14:paraId="064EF27B" w14:textId="00FDECC4" w:rsidR="00A53C52" w:rsidRDefault="00A53C52" w:rsidP="00A53C52">
      <w:pPr>
        <w:pStyle w:val="Contention2"/>
      </w:pPr>
      <w:bookmarkStart w:id="8" w:name="_Toc27600263"/>
      <w:r>
        <w:t>Violation:  No reform.</w:t>
      </w:r>
      <w:bookmarkEnd w:id="8"/>
      <w:r>
        <w:t xml:space="preserve">   </w:t>
      </w:r>
    </w:p>
    <w:p w14:paraId="7D7010C8" w14:textId="0A2EBDF0" w:rsidR="00A53C52" w:rsidRDefault="00FD4E34" w:rsidP="00A53C52">
      <w:pPr>
        <w:pStyle w:val="Evidence"/>
      </w:pPr>
      <w:r>
        <w:t>On what planet is a</w:t>
      </w:r>
      <w:r w:rsidR="00A53C52">
        <w:t xml:space="preserve">dding one more program on top of the </w:t>
      </w:r>
      <w:proofErr w:type="gramStart"/>
      <w:r w:rsidR="00BB24E1">
        <w:t>39</w:t>
      </w:r>
      <w:proofErr w:type="gramEnd"/>
      <w:r w:rsidR="00A53C52">
        <w:t xml:space="preserve"> we already have</w:t>
      </w:r>
      <w:r>
        <w:t xml:space="preserve"> a “substantial reform”?  This</w:t>
      </w:r>
      <w:r w:rsidR="00A53C52">
        <w:t xml:space="preserve"> is not even a minor reform.  </w:t>
      </w:r>
      <w:r w:rsidR="00BB24E1">
        <w:t xml:space="preserve">This </w:t>
      </w:r>
      <w:proofErr w:type="gramStart"/>
      <w:r w:rsidR="00BB24E1">
        <w:t>isn’t</w:t>
      </w:r>
      <w:proofErr w:type="gramEnd"/>
      <w:r w:rsidR="00BB24E1">
        <w:t xml:space="preserve"> anything.</w:t>
      </w:r>
    </w:p>
    <w:p w14:paraId="7664C6CB" w14:textId="3FAACBB3" w:rsidR="00A53C52" w:rsidRDefault="00A53C52" w:rsidP="00A53C52">
      <w:pPr>
        <w:pStyle w:val="Contention2"/>
      </w:pPr>
      <w:bookmarkStart w:id="9" w:name="_Toc27600264"/>
      <w:r>
        <w:t>Impact:  No Affirmative team</w:t>
      </w:r>
      <w:bookmarkEnd w:id="9"/>
    </w:p>
    <w:p w14:paraId="16556A98" w14:textId="061B7F56" w:rsidR="00A53C52" w:rsidRPr="00A53C52" w:rsidRDefault="00A53C52" w:rsidP="00A53C52">
      <w:pPr>
        <w:pStyle w:val="Evidence"/>
      </w:pPr>
      <w:r>
        <w:t>No one showed up in the room today to affirm we should substantially reform anything, so there’s no Affirmative team.  No matter who wins, you should write “Negative” on the ballot.</w:t>
      </w:r>
    </w:p>
    <w:p w14:paraId="7F4E075F" w14:textId="4E0DED56" w:rsidR="00F476AD" w:rsidRDefault="00F476AD" w:rsidP="00007079">
      <w:pPr>
        <w:pStyle w:val="Contention1"/>
      </w:pPr>
      <w:bookmarkStart w:id="10" w:name="_Toc27600265"/>
      <w:r>
        <w:lastRenderedPageBreak/>
        <w:t>INHERENCY</w:t>
      </w:r>
      <w:bookmarkEnd w:id="10"/>
      <w:r w:rsidR="00D92BA6">
        <w:t xml:space="preserve"> </w:t>
      </w:r>
    </w:p>
    <w:p w14:paraId="1EDC804A" w14:textId="62AE9FEB" w:rsidR="00A53C52" w:rsidRDefault="001C213C" w:rsidP="00D815F5">
      <w:pPr>
        <w:pStyle w:val="Contention1"/>
      </w:pPr>
      <w:bookmarkStart w:id="11" w:name="_Toc27600266"/>
      <w:r>
        <w:t xml:space="preserve">1. </w:t>
      </w:r>
      <w:r w:rsidR="00A53C52">
        <w:t xml:space="preserve">  </w:t>
      </w:r>
      <w:r w:rsidR="00BB24E1">
        <w:t>Details on</w:t>
      </w:r>
      <w:r w:rsidR="00A53C52">
        <w:t xml:space="preserve"> </w:t>
      </w:r>
      <w:r w:rsidR="00BB24E1">
        <w:t>5</w:t>
      </w:r>
      <w:r w:rsidR="00A53C52">
        <w:t xml:space="preserve"> </w:t>
      </w:r>
      <w:r w:rsidR="00BB24E1">
        <w:t xml:space="preserve">federal </w:t>
      </w:r>
      <w:r w:rsidR="00A53C52">
        <w:t xml:space="preserve">programs </w:t>
      </w:r>
      <w:r w:rsidR="00BB24E1">
        <w:t xml:space="preserve">already </w:t>
      </w:r>
      <w:r w:rsidR="00A53C52">
        <w:t>doing the AFF plan</w:t>
      </w:r>
      <w:bookmarkEnd w:id="11"/>
    </w:p>
    <w:p w14:paraId="6863D1CF" w14:textId="01551C86" w:rsidR="00BB24E1" w:rsidRDefault="00BB24E1" w:rsidP="00BB24E1">
      <w:pPr>
        <w:pStyle w:val="Constructive"/>
        <w:spacing w:line="240" w:lineRule="auto"/>
        <w:rPr>
          <w:b/>
        </w:rPr>
      </w:pPr>
      <w:r>
        <w:rPr>
          <w:b/>
        </w:rPr>
        <w:t xml:space="preserve">Wish we had time to cover all 39 programs, but </w:t>
      </w:r>
      <w:proofErr w:type="gramStart"/>
      <w:r>
        <w:rPr>
          <w:b/>
        </w:rPr>
        <w:t>let’s</w:t>
      </w:r>
      <w:proofErr w:type="gramEnd"/>
      <w:r>
        <w:rPr>
          <w:b/>
        </w:rPr>
        <w:t xml:space="preserve"> talk about these: </w:t>
      </w:r>
      <w:r w:rsidRPr="00E85BEE">
        <w:rPr>
          <w:b/>
        </w:rPr>
        <w:t>4 in the Dept. of Energy</w:t>
      </w:r>
      <w:r>
        <w:rPr>
          <w:b/>
        </w:rPr>
        <w:t xml:space="preserve"> (DOE)</w:t>
      </w:r>
      <w:r w:rsidRPr="00E85BEE">
        <w:rPr>
          <w:b/>
        </w:rPr>
        <w:t xml:space="preserve"> and 1 in the Defense Department (DOD).</w:t>
      </w:r>
    </w:p>
    <w:p w14:paraId="5874CE36" w14:textId="77777777" w:rsidR="00BB24E1" w:rsidRDefault="00BB24E1" w:rsidP="00BB24E1">
      <w:pPr>
        <w:pStyle w:val="Contention2"/>
      </w:pPr>
      <w:bookmarkStart w:id="12" w:name="_Toc27600267"/>
      <w:r>
        <w:t xml:space="preserve">#1 – </w:t>
      </w:r>
      <w:proofErr w:type="gramStart"/>
      <w:r>
        <w:t>DOE  “</w:t>
      </w:r>
      <w:proofErr w:type="gramEnd"/>
      <w:r>
        <w:t>Joint Center for Energy Storage Research”</w:t>
      </w:r>
      <w:bookmarkEnd w:id="12"/>
    </w:p>
    <w:p w14:paraId="1417C98F" w14:textId="77777777" w:rsidR="00BB24E1" w:rsidRDefault="00BB24E1" w:rsidP="00BB24E1">
      <w:pPr>
        <w:pStyle w:val="Citation3"/>
        <w:rPr>
          <w:b/>
        </w:rPr>
      </w:pPr>
      <w:r w:rsidRPr="00E85BEE">
        <w:rPr>
          <w:u w:val="single"/>
        </w:rPr>
        <w:t>Union of Concerned Scientists 2018</w:t>
      </w:r>
      <w:r>
        <w:t xml:space="preserve"> (</w:t>
      </w:r>
      <w:r w:rsidRPr="00732AB6">
        <w:t xml:space="preserve">founded in 1969 by scientists and students at the Massachusetts Institute of Technology. </w:t>
      </w:r>
      <w:r>
        <w:t xml:space="preserve">Advocates </w:t>
      </w:r>
      <w:r w:rsidRPr="00732AB6">
        <w:t>scientific research to be directed away from military technologies and toward solving pressing environmental and social problems</w:t>
      </w:r>
      <w:r>
        <w:t xml:space="preserve">) Federal Support for Electricity Storage Solutions </w:t>
      </w:r>
      <w:hyperlink r:id="rId13" w:history="1">
        <w:r>
          <w:rPr>
            <w:rStyle w:val="Hyperlink"/>
          </w:rPr>
          <w:t>https://www.ucsusa.org/sites/default/files/attach/2018/07/federal-energy-storage-convening-summary.pdf</w:t>
        </w:r>
      </w:hyperlink>
    </w:p>
    <w:p w14:paraId="6F9C218D" w14:textId="77777777" w:rsidR="00BB24E1" w:rsidRDefault="00BB24E1" w:rsidP="00BB24E1">
      <w:pPr>
        <w:pStyle w:val="Evidence"/>
        <w:rPr>
          <w:u w:val="single"/>
        </w:rPr>
      </w:pPr>
      <w:r w:rsidRPr="00E85BEE">
        <w:rPr>
          <w:u w:val="single"/>
        </w:rPr>
        <w:t>The Basic Energy Sciences program within the DOE’s Office of Science supports early-stage basic research for new technologies, including materials science and electrochemistry related to energy storage</w:t>
      </w:r>
      <w:r>
        <w:t xml:space="preserve"> (Crabtree 2017). </w:t>
      </w:r>
      <w:r w:rsidRPr="00E85BEE">
        <w:rPr>
          <w:u w:val="single"/>
        </w:rPr>
        <w:t>Basic Energy Sciences manages</w:t>
      </w:r>
      <w:r>
        <w:t xml:space="preserve"> four Energy Frontier Research Centers as well as two of the DOE’s five Energy Innovation Hubs, including </w:t>
      </w:r>
      <w:r w:rsidRPr="00E85BEE">
        <w:rPr>
          <w:u w:val="single"/>
        </w:rPr>
        <w:t>the Joint Center for Energy Storage Research (JCESR) at Argonne National Laboratory. JCESR’s early-stage basic research helps expand functionality, improve durability, and improve the performance of electricity storage</w:t>
      </w:r>
      <w:r>
        <w:rPr>
          <w:u w:val="single"/>
        </w:rPr>
        <w:t>.</w:t>
      </w:r>
    </w:p>
    <w:p w14:paraId="53C01DAD" w14:textId="77777777" w:rsidR="00BB24E1" w:rsidRDefault="00BB24E1" w:rsidP="00BB24E1">
      <w:pPr>
        <w:pStyle w:val="Contention2"/>
      </w:pPr>
      <w:bookmarkStart w:id="13" w:name="_Toc27600268"/>
      <w:r>
        <w:t xml:space="preserve">#2 – </w:t>
      </w:r>
      <w:proofErr w:type="gramStart"/>
      <w:r>
        <w:t>DOE  “</w:t>
      </w:r>
      <w:proofErr w:type="gramEnd"/>
      <w:r>
        <w:t>Energy Storage Program”</w:t>
      </w:r>
      <w:bookmarkEnd w:id="13"/>
    </w:p>
    <w:p w14:paraId="0C3F4EA4" w14:textId="77777777" w:rsidR="00BB24E1" w:rsidRDefault="00BB24E1" w:rsidP="00BB24E1">
      <w:pPr>
        <w:pStyle w:val="Citation3"/>
        <w:rPr>
          <w:b/>
        </w:rPr>
      </w:pPr>
      <w:r w:rsidRPr="00E85BEE">
        <w:rPr>
          <w:u w:val="single"/>
        </w:rPr>
        <w:t>Union of Concerned Scientists 2018</w:t>
      </w:r>
      <w:r>
        <w:t xml:space="preserve"> (</w:t>
      </w:r>
      <w:r w:rsidRPr="00732AB6">
        <w:t xml:space="preserve">founded in 1969 by scientists and students at the Massachusetts Institute of Technology. </w:t>
      </w:r>
      <w:r>
        <w:t xml:space="preserve">Advocates </w:t>
      </w:r>
      <w:r w:rsidRPr="00732AB6">
        <w:t>scientific research to be directed away from military technologies and toward solving pressing environmental and social problems</w:t>
      </w:r>
      <w:r>
        <w:t xml:space="preserve">) Federal Support for Electricity Storage Solutions </w:t>
      </w:r>
      <w:hyperlink r:id="rId14" w:history="1">
        <w:r>
          <w:rPr>
            <w:rStyle w:val="Hyperlink"/>
          </w:rPr>
          <w:t>https://www.ucsusa.org/sites/default/files/attach/2018/07/federal-energy-storage-convening-summary.pdf</w:t>
        </w:r>
      </w:hyperlink>
    </w:p>
    <w:p w14:paraId="73B8A66B" w14:textId="77777777" w:rsidR="00BB24E1" w:rsidRDefault="00BB24E1" w:rsidP="00BB24E1">
      <w:pPr>
        <w:pStyle w:val="Evidence"/>
      </w:pPr>
      <w:r w:rsidRPr="00E85BEE">
        <w:rPr>
          <w:u w:val="single"/>
        </w:rPr>
        <w:t>The Office of Electricity Delivery (OE) within the DOE’s Office of Energy</w:t>
      </w:r>
      <w:r>
        <w:t xml:space="preserve"> </w:t>
      </w:r>
      <w:r w:rsidRPr="00E85BEE">
        <w:rPr>
          <w:u w:val="single"/>
        </w:rPr>
        <w:t xml:space="preserve">leads the DOE’s efforts on grid modernization and resilience in energy infrastructure, including smart grid, </w:t>
      </w:r>
      <w:proofErr w:type="spellStart"/>
      <w:r w:rsidRPr="00E85BEE">
        <w:rPr>
          <w:u w:val="single"/>
        </w:rPr>
        <w:t>microgrid</w:t>
      </w:r>
      <w:proofErr w:type="spellEnd"/>
      <w:r w:rsidRPr="00E85BEE">
        <w:rPr>
          <w:u w:val="single"/>
        </w:rPr>
        <w:t>, and energy storage R&amp;D</w:t>
      </w:r>
      <w:r>
        <w:t xml:space="preserve">. The OE also supports technology adoption at the intersection of technology, policy, and markets. </w:t>
      </w:r>
      <w:r w:rsidRPr="00E85BEE">
        <w:rPr>
          <w:u w:val="single"/>
        </w:rPr>
        <w:t>The Energy Storage Program partners with industry, utilities, and state energy organizations to advance multiple storage technologies, improve performance, and reduce costs</w:t>
      </w:r>
      <w:r>
        <w:t>. This program focuses on research questions ranging from the applied early stage, to pre-commercialization and demonstration projects.</w:t>
      </w:r>
    </w:p>
    <w:p w14:paraId="0DD54398" w14:textId="77777777" w:rsidR="00BB24E1" w:rsidRDefault="00BB24E1" w:rsidP="00BB24E1">
      <w:pPr>
        <w:pStyle w:val="Contention2"/>
      </w:pPr>
      <w:bookmarkStart w:id="14" w:name="_Toc27600269"/>
      <w:r>
        <w:t>#3 – DOE “EERE” program</w:t>
      </w:r>
      <w:bookmarkEnd w:id="14"/>
    </w:p>
    <w:p w14:paraId="498EE746" w14:textId="77777777" w:rsidR="00BB24E1" w:rsidRDefault="00BB24E1" w:rsidP="00BB24E1">
      <w:pPr>
        <w:pStyle w:val="Citation3"/>
        <w:rPr>
          <w:b/>
        </w:rPr>
      </w:pPr>
      <w:r w:rsidRPr="00E85BEE">
        <w:rPr>
          <w:u w:val="single"/>
        </w:rPr>
        <w:t>Union of Concerned Scientists 2018</w:t>
      </w:r>
      <w:r>
        <w:t xml:space="preserve"> (</w:t>
      </w:r>
      <w:r w:rsidRPr="00732AB6">
        <w:t xml:space="preserve">founded in 1969 by scientists and students at the Massachusetts Institute of Technology. </w:t>
      </w:r>
      <w:r>
        <w:t xml:space="preserve">Advocates </w:t>
      </w:r>
      <w:r w:rsidRPr="00732AB6">
        <w:t>scientific research to be directed away from military technologies and toward solving pressing environmental and social problems</w:t>
      </w:r>
      <w:r>
        <w:t xml:space="preserve">) Federal Support for Electricity Storage Solutions </w:t>
      </w:r>
      <w:hyperlink r:id="rId15" w:history="1">
        <w:r>
          <w:rPr>
            <w:rStyle w:val="Hyperlink"/>
          </w:rPr>
          <w:t>https://www.ucsusa.org/sites/default/files/attach/2018/07/federal-energy-storage-convening-summary.pdf</w:t>
        </w:r>
      </w:hyperlink>
    </w:p>
    <w:p w14:paraId="0A4B4618" w14:textId="77777777" w:rsidR="00BB24E1" w:rsidRDefault="00BB24E1" w:rsidP="00BB24E1">
      <w:pPr>
        <w:pStyle w:val="Evidence"/>
      </w:pPr>
      <w:r w:rsidRPr="00FD4E34">
        <w:rPr>
          <w:u w:val="single"/>
        </w:rPr>
        <w:t>The Office of Energy Efficiency and Renewable Energy (EERE)</w:t>
      </w:r>
      <w:r w:rsidRPr="00FD4E34">
        <w:t xml:space="preserve"> within the DOE’s Office of Energy funds applied research in various clean energy technologies. The lion’s share of its funding for storage goes to the Vehicles Technologies Program, but the office </w:t>
      </w:r>
      <w:r w:rsidRPr="00FD4E34">
        <w:rPr>
          <w:u w:val="single"/>
        </w:rPr>
        <w:t>funds some important cross-programmatic initiatives in electricity storage systems integration, including a recent solicitation for solar and storage integration</w:t>
      </w:r>
      <w:r w:rsidRPr="00FD4E34">
        <w:t xml:space="preserve"> (</w:t>
      </w:r>
      <w:proofErr w:type="spellStart"/>
      <w:r w:rsidRPr="00FD4E34">
        <w:t>Pyper</w:t>
      </w:r>
      <w:proofErr w:type="spellEnd"/>
      <w:r w:rsidRPr="00FD4E34">
        <w:t xml:space="preserve"> 2018) as well as its ongoing and broader Grid Integration Initiative.</w:t>
      </w:r>
    </w:p>
    <w:p w14:paraId="04CCBC26" w14:textId="77777777" w:rsidR="00BB24E1" w:rsidRDefault="00BB24E1" w:rsidP="00BB24E1">
      <w:pPr>
        <w:pStyle w:val="Contention2"/>
      </w:pPr>
      <w:bookmarkStart w:id="15" w:name="_Toc27600270"/>
      <w:r>
        <w:lastRenderedPageBreak/>
        <w:t>#4 – DOE “ARPA-E” program</w:t>
      </w:r>
      <w:bookmarkEnd w:id="15"/>
    </w:p>
    <w:p w14:paraId="3D5A9E79" w14:textId="77777777" w:rsidR="00BB24E1" w:rsidRDefault="00BB24E1" w:rsidP="00BB24E1">
      <w:pPr>
        <w:pStyle w:val="Citation3"/>
        <w:rPr>
          <w:b/>
        </w:rPr>
      </w:pPr>
      <w:r w:rsidRPr="00E85BEE">
        <w:rPr>
          <w:u w:val="single"/>
        </w:rPr>
        <w:t>Union of Concerned Scientists 2018</w:t>
      </w:r>
      <w:r>
        <w:t xml:space="preserve"> (</w:t>
      </w:r>
      <w:r w:rsidRPr="00732AB6">
        <w:t xml:space="preserve">founded in 1969 by scientists and students at the Massachusetts Institute of Technology. </w:t>
      </w:r>
      <w:r>
        <w:t xml:space="preserve">Advocates </w:t>
      </w:r>
      <w:r w:rsidRPr="00732AB6">
        <w:t>scientific research to be directed away from military technologies and toward solving pressing environmental and social problems</w:t>
      </w:r>
      <w:r>
        <w:t xml:space="preserve">) Federal Support for Electricity Storage Solutions </w:t>
      </w:r>
      <w:hyperlink r:id="rId16" w:history="1">
        <w:r>
          <w:rPr>
            <w:rStyle w:val="Hyperlink"/>
          </w:rPr>
          <w:t>https://www.ucsusa.org/sites/default/files/attach/2018/07/federal-energy-storage-convening-summary.pdf</w:t>
        </w:r>
      </w:hyperlink>
    </w:p>
    <w:p w14:paraId="587E694A" w14:textId="77777777" w:rsidR="00BB24E1" w:rsidRPr="00FD4E34" w:rsidRDefault="00BB24E1" w:rsidP="00BB24E1">
      <w:pPr>
        <w:pStyle w:val="Evidence"/>
        <w:rPr>
          <w:b/>
        </w:rPr>
      </w:pPr>
      <w:r>
        <w:t xml:space="preserve">The Advanced Research Projects Agency—Energy (ARPA-E) pioneers transformational energy projects that represent high-risk but potentially game-changing technologies and provides effective technology-to-market advice to the best performers. For storage, ARPA-E takes this transformational approach to new chemistries, controller technologies, long-duration components, and cost reduction. Between 2009 and </w:t>
      </w:r>
      <w:proofErr w:type="gramStart"/>
      <w:r>
        <w:t>2014</w:t>
      </w:r>
      <w:proofErr w:type="gramEnd"/>
      <w:r>
        <w:t xml:space="preserve"> ARPA-E invested 10 to 15 percent of its funding in electricity storage projects (NASEM 2017). The agency recently announced the creation of the Duration Addition to </w:t>
      </w:r>
      <w:proofErr w:type="spellStart"/>
      <w:r>
        <w:t>electricitY</w:t>
      </w:r>
      <w:proofErr w:type="spellEnd"/>
      <w:r>
        <w:t xml:space="preserve"> Storage program (DAYS) for projects devoted to long-duration storage (ARPA-E 2018).</w:t>
      </w:r>
    </w:p>
    <w:p w14:paraId="049A13DA" w14:textId="77777777" w:rsidR="00BB24E1" w:rsidRDefault="00BB24E1" w:rsidP="00BB24E1">
      <w:pPr>
        <w:pStyle w:val="Contention2"/>
      </w:pPr>
      <w:bookmarkStart w:id="16" w:name="_Toc27600271"/>
      <w:r>
        <w:t>#5 – Defense Department “Operational Energy Management Capability Investment Fund”</w:t>
      </w:r>
      <w:bookmarkEnd w:id="16"/>
    </w:p>
    <w:p w14:paraId="25F84F1D" w14:textId="77777777" w:rsidR="00BB24E1" w:rsidRDefault="00BB24E1" w:rsidP="00BB24E1">
      <w:pPr>
        <w:pStyle w:val="Citation3"/>
        <w:rPr>
          <w:b/>
        </w:rPr>
      </w:pPr>
      <w:r w:rsidRPr="00E85BEE">
        <w:rPr>
          <w:u w:val="single"/>
        </w:rPr>
        <w:t>Union of Concerned Scientists 2018</w:t>
      </w:r>
      <w:r>
        <w:t xml:space="preserve"> (</w:t>
      </w:r>
      <w:r w:rsidRPr="00732AB6">
        <w:t xml:space="preserve">founded in 1969 by scientists and students at the Massachusetts Institute of Technology. </w:t>
      </w:r>
      <w:r>
        <w:t xml:space="preserve">Advocates </w:t>
      </w:r>
      <w:r w:rsidRPr="00732AB6">
        <w:t>scientific research to be directed away from military technologies and toward solving pressing environmental and social problems</w:t>
      </w:r>
      <w:r>
        <w:t xml:space="preserve">) Federal Support for Electricity Storage Solutions </w:t>
      </w:r>
      <w:hyperlink r:id="rId17" w:history="1">
        <w:r>
          <w:rPr>
            <w:rStyle w:val="Hyperlink"/>
          </w:rPr>
          <w:t>https://www.ucsusa.org/sites/default/files/attach/2018/07/federal-energy-storage-convening-summary.pdf</w:t>
        </w:r>
      </w:hyperlink>
    </w:p>
    <w:p w14:paraId="41FFD8DD" w14:textId="1104ECA9" w:rsidR="00BB24E1" w:rsidRDefault="00BB24E1" w:rsidP="00BB24E1">
      <w:pPr>
        <w:pStyle w:val="Evidence"/>
      </w:pPr>
      <w:r w:rsidRPr="00E85BEE">
        <w:rPr>
          <w:u w:val="single"/>
        </w:rPr>
        <w:t xml:space="preserve">The DOD’s work significantly contributes to addressing most of the important storage research </w:t>
      </w:r>
      <w:proofErr w:type="gramStart"/>
      <w:r w:rsidRPr="00E85BEE">
        <w:rPr>
          <w:u w:val="single"/>
        </w:rPr>
        <w:t>priorities and is managed through the Office of the Secretary, at the Operational Energy Management Capability Investment Fund</w:t>
      </w:r>
      <w:r>
        <w:t xml:space="preserve"> (OECIF) and the Environmental Security Technology Certification Program (ESTCP)</w:t>
      </w:r>
      <w:proofErr w:type="gramEnd"/>
      <w:r>
        <w:t xml:space="preserve"> and has offices within the branches of service</w:t>
      </w:r>
      <w:r w:rsidRPr="00E85BEE">
        <w:rPr>
          <w:u w:val="single"/>
        </w:rPr>
        <w:t>. Over the next five to 10 years, the military is expecting a wave of multi-megawatt storage deployments at dozens of locations</w:t>
      </w:r>
      <w:r>
        <w:t xml:space="preserve">. </w:t>
      </w:r>
      <w:r w:rsidRPr="00E85BEE">
        <w:rPr>
          <w:u w:val="single"/>
        </w:rPr>
        <w:t>The DOD is therefore a natural testbed for new energy storage technologies,</w:t>
      </w:r>
      <w:r>
        <w:t xml:space="preserve"> helping to advance our understanding of the technology while bringing down costs of future projects.</w:t>
      </w:r>
    </w:p>
    <w:p w14:paraId="4CA0535E" w14:textId="55965B39" w:rsidR="00AE39EE" w:rsidRDefault="00AE39EE" w:rsidP="00AE39EE">
      <w:pPr>
        <w:pStyle w:val="Contention1"/>
      </w:pPr>
      <w:bookmarkStart w:id="17" w:name="_Toc27600272"/>
      <w:r>
        <w:t>2.  States are doing it</w:t>
      </w:r>
      <w:bookmarkEnd w:id="17"/>
    </w:p>
    <w:p w14:paraId="04368515" w14:textId="7A152C6B" w:rsidR="00AE39EE" w:rsidRDefault="00AE39EE" w:rsidP="00AE39EE">
      <w:pPr>
        <w:pStyle w:val="Contention2"/>
      </w:pPr>
      <w:bookmarkStart w:id="18" w:name="_Toc27600273"/>
      <w:r>
        <w:t>States doing energy storage initiatives.  Examples:  Arizona, Maryland, Oregon and California</w:t>
      </w:r>
      <w:bookmarkEnd w:id="18"/>
    </w:p>
    <w:p w14:paraId="23AB5818" w14:textId="77777777" w:rsidR="00AE39EE" w:rsidRDefault="00AE39EE" w:rsidP="00AE39EE">
      <w:pPr>
        <w:pStyle w:val="Citation3"/>
      </w:pPr>
      <w:r w:rsidRPr="00AE39EE">
        <w:rPr>
          <w:u w:val="single"/>
        </w:rPr>
        <w:t>Government Accountability Office 2018</w:t>
      </w:r>
      <w:r>
        <w:t xml:space="preserve"> (audit, evaluation, and investigative arm of Congress) May 2018 “Information on Challenges to Deployment for Electricity Grid Operations and Efforts to Address Them</w:t>
      </w:r>
      <w:proofErr w:type="gramStart"/>
      <w:r>
        <w:t xml:space="preserve">”  </w:t>
      </w:r>
      <w:proofErr w:type="gramEnd"/>
      <w:r>
        <w:fldChar w:fldCharType="begin"/>
      </w:r>
      <w:r>
        <w:instrText xml:space="preserve"> HYPERLINK "https://www.gao.gov/assets/700/691983.pdf" </w:instrText>
      </w:r>
      <w:r>
        <w:fldChar w:fldCharType="separate"/>
      </w:r>
      <w:r>
        <w:rPr>
          <w:rStyle w:val="Hyperlink"/>
        </w:rPr>
        <w:t>https://www.gao.gov/assets/700/691983.pdf</w:t>
      </w:r>
      <w:r>
        <w:fldChar w:fldCharType="end"/>
      </w:r>
    </w:p>
    <w:p w14:paraId="11CD565F" w14:textId="3BC3FDE4" w:rsidR="00AE39EE" w:rsidRDefault="00AE39EE" w:rsidP="00AE39EE">
      <w:pPr>
        <w:pStyle w:val="Evidence"/>
      </w:pPr>
      <w:r>
        <w:t xml:space="preserve">In addition to the efforts described above, </w:t>
      </w:r>
      <w:r w:rsidRPr="00AE39EE">
        <w:rPr>
          <w:u w:val="single"/>
        </w:rPr>
        <w:t>we found that several states have proposed or undertaken a range of other efforts that may encourage the deployment of energy storage or address market barriers. For example, the Arizona Corporation Commission required two electric utilities to develop residential battery storage programs</w:t>
      </w:r>
      <w:r>
        <w:t xml:space="preserve"> in order to lower customers’ energy use during peak demand. In addition, </w:t>
      </w:r>
      <w:r w:rsidRPr="00AE39EE">
        <w:rPr>
          <w:u w:val="single"/>
        </w:rPr>
        <w:t>Maryland’s Public Service Commission initiated a grid modernization rulemaking that, among other things, will define residential energy storage, determine a classification for storage in the Commission’s rules, and create criteria to evaluate storage investments. Similarly, state legislation directs Oregon’s Public Utility Commission to create a framework for utilities to use when conducting storage evaluations. Moreover, the California Public Utility Commission has approved rules that increase the ways for energy storage systems to obtain revenue</w:t>
      </w:r>
      <w:r>
        <w:t xml:space="preserve"> for multiple uses, or grid services, for example, from frequency regulation, capacity, or other services.</w:t>
      </w:r>
    </w:p>
    <w:p w14:paraId="68EFF71B" w14:textId="0460CE6F" w:rsidR="00AE39EE" w:rsidRDefault="00AE39EE" w:rsidP="00AE39EE">
      <w:pPr>
        <w:pStyle w:val="Contention2"/>
      </w:pPr>
      <w:bookmarkStart w:id="19" w:name="_Toc27600274"/>
      <w:r>
        <w:lastRenderedPageBreak/>
        <w:t>More State examples:   Massachusetts and Washington</w:t>
      </w:r>
      <w:bookmarkEnd w:id="19"/>
    </w:p>
    <w:p w14:paraId="0F5F59AB" w14:textId="77777777" w:rsidR="00AE39EE" w:rsidRDefault="00AE39EE" w:rsidP="00AE39EE">
      <w:pPr>
        <w:pStyle w:val="Citation3"/>
      </w:pPr>
      <w:r w:rsidRPr="00AE39EE">
        <w:rPr>
          <w:u w:val="single"/>
        </w:rPr>
        <w:t>Government Accountability Office 2018</w:t>
      </w:r>
      <w:r>
        <w:t xml:space="preserve"> (audit, evaluation, and investigative arm of Congress) May 2018 “Information on Challenges to Deployment for Electricity Grid Operations and Efforts to Address Them</w:t>
      </w:r>
      <w:proofErr w:type="gramStart"/>
      <w:r>
        <w:t xml:space="preserve">”  </w:t>
      </w:r>
      <w:proofErr w:type="gramEnd"/>
      <w:r>
        <w:fldChar w:fldCharType="begin"/>
      </w:r>
      <w:r>
        <w:instrText xml:space="preserve"> HYPERLINK "https://www.gao.gov/assets/700/691983.pdf" </w:instrText>
      </w:r>
      <w:r>
        <w:fldChar w:fldCharType="separate"/>
      </w:r>
      <w:r>
        <w:rPr>
          <w:rStyle w:val="Hyperlink"/>
        </w:rPr>
        <w:t>https://www.gao.gov/assets/700/691983.pdf</w:t>
      </w:r>
      <w:r>
        <w:fldChar w:fldCharType="end"/>
      </w:r>
    </w:p>
    <w:p w14:paraId="6EE95402" w14:textId="1B8EFF2C" w:rsidR="00AE39EE" w:rsidRDefault="00AE39EE" w:rsidP="00AE39EE">
      <w:pPr>
        <w:pStyle w:val="Evidence"/>
      </w:pPr>
      <w:r>
        <w:t xml:space="preserve">A number of states offer funding for energy storage pilot and demonstration projects. For </w:t>
      </w:r>
      <w:proofErr w:type="gramStart"/>
      <w:r>
        <w:t>example:</w:t>
      </w:r>
      <w:proofErr w:type="gramEnd"/>
      <w:r>
        <w:t xml:space="preserve"> • Massachusetts launched a $20 million grant program to pilot energy storage use cases to increase deployment of storage. • The Washington Clean Energy Fund supports demonstration projects, including projects at utilities working with the Pacific Northwest National Laboratory to support understanding approaches to integrate and optimize storage control systems and development of a framework for evaluating the technical and financial benefits of storage.</w:t>
      </w:r>
    </w:p>
    <w:p w14:paraId="57DFFE92" w14:textId="3FAE715F" w:rsidR="003152E0" w:rsidRDefault="003152E0" w:rsidP="003152E0">
      <w:pPr>
        <w:pStyle w:val="Contention2"/>
      </w:pPr>
      <w:bookmarkStart w:id="20" w:name="_Toc27600275"/>
      <w:r>
        <w:t>States setting mandates for installation of energy storage capacity</w:t>
      </w:r>
      <w:bookmarkEnd w:id="20"/>
    </w:p>
    <w:p w14:paraId="70D0FF8D" w14:textId="77777777" w:rsidR="003152E0" w:rsidRDefault="003152E0" w:rsidP="003152E0">
      <w:pPr>
        <w:pStyle w:val="Citation3"/>
      </w:pPr>
      <w:r w:rsidRPr="00AE39EE">
        <w:rPr>
          <w:u w:val="single"/>
        </w:rPr>
        <w:t>Government Accountability Office 2018</w:t>
      </w:r>
      <w:r>
        <w:t xml:space="preserve"> (audit, evaluation, and investigative arm of Congress) May 2018 “Information on Challenges to Deployment for Electricity Grid Operations and Efforts to Address Them</w:t>
      </w:r>
      <w:proofErr w:type="gramStart"/>
      <w:r>
        <w:t xml:space="preserve">”  </w:t>
      </w:r>
      <w:proofErr w:type="gramEnd"/>
      <w:r>
        <w:fldChar w:fldCharType="begin"/>
      </w:r>
      <w:r>
        <w:instrText xml:space="preserve"> HYPERLINK "https://www.gao.gov/assets/700/691983.pdf" </w:instrText>
      </w:r>
      <w:r>
        <w:fldChar w:fldCharType="separate"/>
      </w:r>
      <w:r>
        <w:rPr>
          <w:rStyle w:val="Hyperlink"/>
        </w:rPr>
        <w:t>https://www.gao.gov/assets/700/691983.pdf</w:t>
      </w:r>
      <w:r>
        <w:fldChar w:fldCharType="end"/>
      </w:r>
    </w:p>
    <w:p w14:paraId="14FF2C67" w14:textId="6511DD4C" w:rsidR="003152E0" w:rsidRPr="00E85BEE" w:rsidRDefault="003152E0" w:rsidP="00AE39EE">
      <w:pPr>
        <w:pStyle w:val="Evidence"/>
        <w:rPr>
          <w:b/>
        </w:rPr>
      </w:pPr>
      <w:r w:rsidRPr="003152E0">
        <w:rPr>
          <w:u w:val="single"/>
        </w:rPr>
        <w:t>Several states have established or proposed mandates or targets that require or encourage electric utilities to procure a specific amount of energy storage capacity</w:t>
      </w:r>
      <w:r>
        <w:t xml:space="preserve">. States have taken a range of approaches to implementing these mandates and targets. </w:t>
      </w:r>
      <w:r w:rsidRPr="003152E0">
        <w:rPr>
          <w:u w:val="single"/>
        </w:rPr>
        <w:t xml:space="preserve">For </w:t>
      </w:r>
      <w:proofErr w:type="gramStart"/>
      <w:r w:rsidRPr="003152E0">
        <w:rPr>
          <w:u w:val="single"/>
        </w:rPr>
        <w:t>example:</w:t>
      </w:r>
      <w:proofErr w:type="gramEnd"/>
      <w:r w:rsidRPr="003152E0">
        <w:rPr>
          <w:u w:val="single"/>
        </w:rPr>
        <w:t xml:space="preserve"> • The California Public Utilities Commission requires investor-owned utilities to collectively procure 1.3 GW of energy storage by 2020.</w:t>
      </w:r>
      <w:r>
        <w:t xml:space="preserve"> • </w:t>
      </w:r>
      <w:r w:rsidRPr="003152E0">
        <w:rPr>
          <w:u w:val="single"/>
        </w:rPr>
        <w:t xml:space="preserve">Oregon is in the process of implementing a </w:t>
      </w:r>
      <w:proofErr w:type="gramStart"/>
      <w:r w:rsidRPr="003152E0">
        <w:rPr>
          <w:u w:val="single"/>
        </w:rPr>
        <w:t>requirement for certain</w:t>
      </w:r>
      <w:proofErr w:type="gramEnd"/>
      <w:r w:rsidRPr="003152E0">
        <w:rPr>
          <w:u w:val="single"/>
        </w:rPr>
        <w:t xml:space="preserve"> utilities serving more than 25,000 retail customers to procure energy storage systems</w:t>
      </w:r>
      <w:r>
        <w:t xml:space="preserve"> with at least 5 megawatt hours of energy storage capacity by January 1, 2020. • </w:t>
      </w:r>
      <w:r w:rsidRPr="003152E0">
        <w:rPr>
          <w:u w:val="single"/>
        </w:rPr>
        <w:t xml:space="preserve">The Massachusetts Department of Energy Resources adopted a 200 </w:t>
      </w:r>
      <w:proofErr w:type="gramStart"/>
      <w:r w:rsidRPr="003152E0">
        <w:rPr>
          <w:u w:val="single"/>
        </w:rPr>
        <w:t>megawatt-hour energy storage target</w:t>
      </w:r>
      <w:proofErr w:type="gramEnd"/>
      <w:r w:rsidRPr="003152E0">
        <w:rPr>
          <w:u w:val="single"/>
        </w:rPr>
        <w:t xml:space="preserve"> for electric distribution companies to collectively meet by January 2020. • In November 2017, New York State enacted legislation requiring the state public service commission to adopt an energy storage target</w:t>
      </w:r>
      <w:r>
        <w:t>. In January 2018, the Governor of New York announced an energy storage goal of 1.5 GW by 2025.</w:t>
      </w:r>
    </w:p>
    <w:p w14:paraId="2C9B6797" w14:textId="499027E0" w:rsidR="00062984" w:rsidRDefault="00AE39EE" w:rsidP="007D0997">
      <w:pPr>
        <w:pStyle w:val="Contention1"/>
      </w:pPr>
      <w:bookmarkStart w:id="21" w:name="_Toc27600276"/>
      <w:r>
        <w:t>3</w:t>
      </w:r>
      <w:r w:rsidR="00BB24E1">
        <w:t xml:space="preserve">.  </w:t>
      </w:r>
      <w:r w:rsidR="003C7CF4">
        <w:t>Private</w:t>
      </w:r>
      <w:r w:rsidR="00477021">
        <w:t xml:space="preserve"> sector</w:t>
      </w:r>
      <w:r w:rsidR="003C7CF4">
        <w:t xml:space="preserve"> already solving the technical problems</w:t>
      </w:r>
      <w:bookmarkEnd w:id="21"/>
    </w:p>
    <w:p w14:paraId="1D5E33AB" w14:textId="02445972" w:rsidR="00062984" w:rsidRDefault="00062984" w:rsidP="00062984">
      <w:pPr>
        <w:pStyle w:val="Contention2"/>
      </w:pPr>
      <w:bookmarkStart w:id="22" w:name="_Toc27600277"/>
      <w:r>
        <w:t xml:space="preserve">Status Quo is shifting toward battery energy storage, cost is falling significantly, </w:t>
      </w:r>
      <w:r w:rsidR="00477021">
        <w:t xml:space="preserve">mass production is happening </w:t>
      </w:r>
      <w:r>
        <w:t>and commercial usage is increasing</w:t>
      </w:r>
      <w:bookmarkEnd w:id="22"/>
    </w:p>
    <w:p w14:paraId="177CAE1D" w14:textId="3676C883" w:rsidR="00062984" w:rsidRPr="00477021" w:rsidRDefault="00477021" w:rsidP="00477021">
      <w:pPr>
        <w:pStyle w:val="Citation3"/>
      </w:pPr>
      <w:r w:rsidRPr="00477021">
        <w:rPr>
          <w:u w:val="single"/>
        </w:rPr>
        <w:t>Timothy Hughes 2018</w:t>
      </w:r>
      <w:r w:rsidRPr="00477021">
        <w:t xml:space="preserve"> (Principal Scientist Energy Storage at </w:t>
      </w:r>
      <w:r w:rsidRPr="00477021">
        <w:rPr>
          <w:rStyle w:val="Emphasis"/>
          <w:i/>
          <w:iCs w:val="0"/>
        </w:rPr>
        <w:t>Siemens, a large European technology company</w:t>
      </w:r>
      <w:r w:rsidRPr="00477021">
        <w:t>) “Energy Storage – an Impossible Task for Renewable Sources?” 8 July 2018</w:t>
      </w:r>
      <w:r w:rsidR="00062984" w:rsidRPr="00477021">
        <w:t xml:space="preserve"> </w:t>
      </w:r>
      <w:hyperlink r:id="rId18" w:history="1">
        <w:r w:rsidRPr="00477021">
          <w:rPr>
            <w:rStyle w:val="Hyperlink"/>
            <w:color w:val="auto"/>
            <w:u w:val="none"/>
          </w:rPr>
          <w:t>https://ingenuity.siemens.com/2018/07/energy-storage-an-impossible-task-for-renewable-sources/</w:t>
        </w:r>
      </w:hyperlink>
    </w:p>
    <w:p w14:paraId="06F4A594" w14:textId="77777777" w:rsidR="00062984" w:rsidRPr="00062984" w:rsidRDefault="00062984" w:rsidP="00062984">
      <w:pPr>
        <w:pStyle w:val="Evidence"/>
      </w:pPr>
      <w:r w:rsidRPr="00477021">
        <w:rPr>
          <w:u w:val="single"/>
        </w:rPr>
        <w:t>Batteries are also key to the new revolution of on-site generation</w:t>
      </w:r>
      <w:r w:rsidRPr="00062984">
        <w:t xml:space="preserve">. </w:t>
      </w:r>
      <w:r w:rsidRPr="00477021">
        <w:rPr>
          <w:u w:val="single"/>
        </w:rPr>
        <w:t>We are seeing a shift towards businesses producing their own electricity using solar PV or cogeneration units</w:t>
      </w:r>
      <w:r w:rsidRPr="00062984">
        <w:t xml:space="preserve"> to reduce carbon emissions and better manage their energy costs</w:t>
      </w:r>
      <w:r w:rsidRPr="00477021">
        <w:rPr>
          <w:u w:val="single"/>
        </w:rPr>
        <w:t>. On-site </w:t>
      </w:r>
      <w:hyperlink r:id="rId19" w:history="1">
        <w:r w:rsidRPr="00477021">
          <w:rPr>
            <w:rStyle w:val="Hyperlink"/>
            <w:color w:val="000000"/>
            <w:u w:val="single"/>
          </w:rPr>
          <w:t>lithium-ion battery technology</w:t>
        </w:r>
      </w:hyperlink>
      <w:r w:rsidRPr="00477021">
        <w:rPr>
          <w:u w:val="single"/>
        </w:rPr>
        <w:t> allows the business to store surplus energy and increase the security of their supply</w:t>
      </w:r>
      <w:r w:rsidRPr="00062984">
        <w:t xml:space="preserve"> – they can even generate revenue by selling excess energy to the grid. </w:t>
      </w:r>
      <w:r w:rsidRPr="00477021">
        <w:rPr>
          <w:u w:val="single"/>
        </w:rPr>
        <w:t>Battery technology has evolved dramatically over the last two decades</w:t>
      </w:r>
      <w:r w:rsidRPr="00062984">
        <w:t xml:space="preserve"> and Siemens has been at the forefront of innovation in this digital services field. </w:t>
      </w:r>
      <w:r w:rsidRPr="00477021">
        <w:rPr>
          <w:u w:val="single"/>
        </w:rPr>
        <w:t xml:space="preserve">Batteries </w:t>
      </w:r>
      <w:proofErr w:type="gramStart"/>
      <w:r w:rsidRPr="00477021">
        <w:rPr>
          <w:u w:val="single"/>
        </w:rPr>
        <w:t>are now very advanced</w:t>
      </w:r>
      <w:proofErr w:type="gramEnd"/>
      <w:r w:rsidRPr="00477021">
        <w:rPr>
          <w:u w:val="single"/>
        </w:rPr>
        <w:t xml:space="preserve">, energy dense, relatively light and can efficiently store a lot of energy in a surprisingly small footprint. The supply chain has also changed considerably, from batteries being manufactured in limited numbers a few years </w:t>
      </w:r>
      <w:proofErr w:type="gramStart"/>
      <w:r w:rsidRPr="00477021">
        <w:rPr>
          <w:u w:val="single"/>
        </w:rPr>
        <w:t>ago,</w:t>
      </w:r>
      <w:proofErr w:type="gramEnd"/>
      <w:r w:rsidRPr="00477021">
        <w:rPr>
          <w:u w:val="single"/>
        </w:rPr>
        <w:t xml:space="preserve"> we now see mass production from Giga-factories. </w:t>
      </w:r>
      <w:proofErr w:type="gramStart"/>
      <w:r w:rsidRPr="00477021">
        <w:rPr>
          <w:u w:val="single"/>
        </w:rPr>
        <w:t>And</w:t>
      </w:r>
      <w:proofErr w:type="gramEnd"/>
      <w:r w:rsidRPr="00477021">
        <w:rPr>
          <w:u w:val="single"/>
        </w:rPr>
        <w:t xml:space="preserve"> because of the supply versus demand balance the cost has fallen significantly, showing an increasing commercial benefit to battery technology year on year</w:t>
      </w:r>
      <w:r w:rsidRPr="00062984">
        <w:t>.</w:t>
      </w:r>
    </w:p>
    <w:p w14:paraId="72B1DD1B" w14:textId="46DFA4EC" w:rsidR="00007079" w:rsidRDefault="00697B6D" w:rsidP="007D0997">
      <w:pPr>
        <w:pStyle w:val="Contention1"/>
      </w:pPr>
      <w:bookmarkStart w:id="23" w:name="_Toc27600278"/>
      <w:r>
        <w:lastRenderedPageBreak/>
        <w:t xml:space="preserve">SIGNIFICANCE </w:t>
      </w:r>
      <w:r w:rsidR="00A010F2">
        <w:t>/HARMS</w:t>
      </w:r>
      <w:bookmarkEnd w:id="23"/>
    </w:p>
    <w:p w14:paraId="7F02250D" w14:textId="747AD5FF" w:rsidR="00D92BA6" w:rsidRDefault="008F3075" w:rsidP="00B769F6">
      <w:pPr>
        <w:pStyle w:val="Contention1"/>
      </w:pPr>
      <w:bookmarkStart w:id="24" w:name="_Toc27600279"/>
      <w:r>
        <w:t>1.  No harm from fossil fuels</w:t>
      </w:r>
      <w:r w:rsidR="000A0557">
        <w:t xml:space="preserve"> – so no urgency for renewables</w:t>
      </w:r>
      <w:bookmarkEnd w:id="24"/>
    </w:p>
    <w:p w14:paraId="1673BCCE" w14:textId="77777777" w:rsidR="008F3075" w:rsidRDefault="008F3075" w:rsidP="008F3075">
      <w:pPr>
        <w:pStyle w:val="Contention2"/>
      </w:pPr>
      <w:bookmarkStart w:id="25" w:name="_Toc24364549"/>
      <w:bookmarkStart w:id="26" w:name="_Toc27600280"/>
      <w:r>
        <w:t>Fossil fuels, by improving economic growth, give us better capacity to improve the environment long-term</w:t>
      </w:r>
      <w:bookmarkEnd w:id="25"/>
      <w:bookmarkEnd w:id="26"/>
    </w:p>
    <w:p w14:paraId="711EF875" w14:textId="77777777" w:rsidR="008F3075" w:rsidRDefault="008F3075" w:rsidP="008F3075">
      <w:pPr>
        <w:pStyle w:val="Citation3"/>
      </w:pPr>
      <w:r w:rsidRPr="00565119">
        <w:rPr>
          <w:u w:val="single"/>
        </w:rPr>
        <w:t>Alex Epstein 2013</w:t>
      </w:r>
      <w:r>
        <w:t xml:space="preserve"> (Founder, Center for Industrial Progress) “The Moral Case for Fossil Fuels The Key to Winning Hearts and Minds</w:t>
      </w:r>
      <w:proofErr w:type="gramStart"/>
      <w:r>
        <w:t xml:space="preserve">”  </w:t>
      </w:r>
      <w:proofErr w:type="gramEnd"/>
      <w:r>
        <w:rPr>
          <w:rStyle w:val="Hyperlink"/>
        </w:rPr>
        <w:fldChar w:fldCharType="begin"/>
      </w:r>
      <w:r>
        <w:rPr>
          <w:rStyle w:val="Hyperlink"/>
        </w:rPr>
        <w:instrText xml:space="preserve"> HYPERLINK "https://industrialprogress.com/wp-content/uploads/2013/10/The-Moral-Case-for-Fossil-Fuels.pdf" </w:instrText>
      </w:r>
      <w:r>
        <w:rPr>
          <w:rStyle w:val="Hyperlink"/>
        </w:rPr>
        <w:fldChar w:fldCharType="separate"/>
      </w:r>
      <w:r>
        <w:rPr>
          <w:rStyle w:val="Hyperlink"/>
        </w:rPr>
        <w:t>https://industrialprogress.com/wp-content/uploads/2013/10/The-Moral-Case-for-Fossil-Fuels.pdf</w:t>
      </w:r>
      <w:r>
        <w:rPr>
          <w:rStyle w:val="Hyperlink"/>
        </w:rPr>
        <w:fldChar w:fldCharType="end"/>
      </w:r>
    </w:p>
    <w:p w14:paraId="4C2EA799" w14:textId="77777777" w:rsidR="008F3075" w:rsidRDefault="008F3075" w:rsidP="008F3075">
      <w:pPr>
        <w:pStyle w:val="Evidence"/>
      </w:pPr>
      <w:r>
        <w:t>By that standard, is the fossil fuel industry moral? The answer to that question is a resounding yes. By producing the most abundant, affordable, reliable energy in the world, the fossil fuel industry makes every other industry more productive—and it makes every individual more productive and thus more prosperous, giving him a level of opportunity to pursue happiness that previous generations couldn’t even dream of. Energy, the fuel of technology, is opportunity—the opportunity to use technology to improve every aspect of life. Including our environment.</w:t>
      </w:r>
    </w:p>
    <w:p w14:paraId="247249CD" w14:textId="77777777" w:rsidR="008F3075" w:rsidRDefault="008F3075" w:rsidP="008F3075">
      <w:pPr>
        <w:pStyle w:val="Contention2"/>
      </w:pPr>
      <w:bookmarkStart w:id="27" w:name="_Toc24364551"/>
      <w:bookmarkStart w:id="28" w:name="_Toc27600281"/>
      <w:r>
        <w:t>Fossil fuels protect us from the impacts of climate change and save lives</w:t>
      </w:r>
      <w:bookmarkEnd w:id="27"/>
      <w:bookmarkEnd w:id="28"/>
    </w:p>
    <w:p w14:paraId="4F8603AE" w14:textId="77777777" w:rsidR="008F3075" w:rsidRDefault="008F3075" w:rsidP="008F3075">
      <w:pPr>
        <w:pStyle w:val="Citation3"/>
      </w:pPr>
      <w:r w:rsidRPr="00565119">
        <w:rPr>
          <w:u w:val="single"/>
        </w:rPr>
        <w:t>Alex Epstein 2013</w:t>
      </w:r>
      <w:r>
        <w:t xml:space="preserve"> (Founder, Center for Industrial Progress) “The Moral Case for Fossil Fuels The Key to Winning Hearts and Minds</w:t>
      </w:r>
      <w:proofErr w:type="gramStart"/>
      <w:r>
        <w:t xml:space="preserve">”  </w:t>
      </w:r>
      <w:proofErr w:type="gramEnd"/>
      <w:r>
        <w:rPr>
          <w:rStyle w:val="Hyperlink"/>
        </w:rPr>
        <w:fldChar w:fldCharType="begin"/>
      </w:r>
      <w:r>
        <w:rPr>
          <w:rStyle w:val="Hyperlink"/>
        </w:rPr>
        <w:instrText xml:space="preserve"> HYPERLINK "https://industrialprogress.com/wp-content/uploads/2013/10/The-Moral-Case-for-Fossil-Fuels.pdf" </w:instrText>
      </w:r>
      <w:r>
        <w:rPr>
          <w:rStyle w:val="Hyperlink"/>
        </w:rPr>
        <w:fldChar w:fldCharType="separate"/>
      </w:r>
      <w:r>
        <w:rPr>
          <w:rStyle w:val="Hyperlink"/>
        </w:rPr>
        <w:t>https://industrialprogress.com/wp-content/uploads/2013/10/The-Moral-Case-for-Fossil-Fuels.pdf</w:t>
      </w:r>
      <w:r>
        <w:rPr>
          <w:rStyle w:val="Hyperlink"/>
        </w:rPr>
        <w:fldChar w:fldCharType="end"/>
      </w:r>
    </w:p>
    <w:p w14:paraId="63480B9E" w14:textId="5FA5C8F5" w:rsidR="008F3075" w:rsidRDefault="008F3075" w:rsidP="008F3075">
      <w:pPr>
        <w:pStyle w:val="Evidence"/>
      </w:pPr>
      <w:r>
        <w:t>The energy we get from fossil fuels is particularly valuable for protecting ourselves from the climate. The climate is inherently dangerous (and it is always changing, whether we influence the change or not). Energy and technology have made us far safer from it. The data here are unambiguous. In the last 80 years, as CO2 emissions have risen from an atmospheric concentration of .03% to .04%, climate-related deaths have declined 98%. Take drought-related deaths, which have declined by 99.98%. This has nothing to do with a friendly or unfriendly climate, it has to do with the oil and gas industry, which fuels high-energy agriculture as well as natural gas-produced fertilizer, and which fuels drought relief convoys. Fossil fuels make the planet dramatically safer.</w:t>
      </w:r>
    </w:p>
    <w:p w14:paraId="5DF28B55" w14:textId="77777777" w:rsidR="008F3075" w:rsidRDefault="008F3075" w:rsidP="008F3075">
      <w:pPr>
        <w:pStyle w:val="Contention2"/>
      </w:pPr>
      <w:bookmarkStart w:id="29" w:name="_Toc24364552"/>
      <w:bookmarkStart w:id="30" w:name="_Toc27600282"/>
      <w:r>
        <w:t>CO2 growth is insignificant and so are its impacts.  And fossil fuels are better for protecting us from its impacts anyway</w:t>
      </w:r>
      <w:bookmarkEnd w:id="29"/>
      <w:bookmarkEnd w:id="30"/>
    </w:p>
    <w:p w14:paraId="3CD81B0A" w14:textId="77777777" w:rsidR="008F3075" w:rsidRDefault="008F3075" w:rsidP="008F3075">
      <w:pPr>
        <w:pStyle w:val="Citation3"/>
      </w:pPr>
      <w:r w:rsidRPr="00565119">
        <w:rPr>
          <w:u w:val="single"/>
        </w:rPr>
        <w:t>Alex Epstein 2013</w:t>
      </w:r>
      <w:r>
        <w:t xml:space="preserve"> (Founder, Center for Industrial Progress) “The Moral Case for Fossil Fuels The Key to Winning Hearts and Minds</w:t>
      </w:r>
      <w:proofErr w:type="gramStart"/>
      <w:r>
        <w:t xml:space="preserve">”  </w:t>
      </w:r>
      <w:proofErr w:type="gramEnd"/>
      <w:r>
        <w:rPr>
          <w:rStyle w:val="Hyperlink"/>
        </w:rPr>
        <w:fldChar w:fldCharType="begin"/>
      </w:r>
      <w:r>
        <w:rPr>
          <w:rStyle w:val="Hyperlink"/>
        </w:rPr>
        <w:instrText xml:space="preserve"> HYPERLINK "https://industrialprogress.com/wp-content/uploads/2013/10/The-Moral-Case-for-Fossil-Fuels.pdf" </w:instrText>
      </w:r>
      <w:r>
        <w:rPr>
          <w:rStyle w:val="Hyperlink"/>
        </w:rPr>
        <w:fldChar w:fldCharType="separate"/>
      </w:r>
      <w:r>
        <w:rPr>
          <w:rStyle w:val="Hyperlink"/>
        </w:rPr>
        <w:t>https://industrialprogress.com/wp-content/uploads/2013/10/The-Moral-Case-for-Fossil-Fuels.pdf</w:t>
      </w:r>
      <w:r>
        <w:rPr>
          <w:rStyle w:val="Hyperlink"/>
        </w:rPr>
        <w:fldChar w:fldCharType="end"/>
      </w:r>
    </w:p>
    <w:p w14:paraId="49921C55" w14:textId="2625D2E6" w:rsidR="008F3075" w:rsidRDefault="008F3075" w:rsidP="008F3075">
      <w:pPr>
        <w:pStyle w:val="Evidence"/>
      </w:pPr>
      <w:r>
        <w:t xml:space="preserve">And while </w:t>
      </w:r>
      <w:r w:rsidRPr="008F3075">
        <w:rPr>
          <w:u w:val="single"/>
        </w:rPr>
        <w:t>fossil fuel opponents tend to exaggerate the scale of CO2 emissions—in the last 150 years, CO2 has gone from .03% of the atmosphere to .04%—</w:t>
      </w:r>
      <w:r>
        <w:t xml:space="preserve">when consumers use our products it does have some impact on the atmosphere and thus the climate system. </w:t>
      </w:r>
      <w:r w:rsidRPr="008F3075">
        <w:rPr>
          <w:u w:val="single"/>
        </w:rPr>
        <w:t>Although the average temperature around the world has only increased by a historically unremarkable 1 degree Celsius over the past 150 years, CO2 emissions likely contributed some of that (mild) warming. Is this a significant problem—let alone the epic scale problem that would justify restricting peoples’ ability to use cheap, plentiful, reliable energy? We believe that while doomsday speculation says yes, the evidence says: no. It is an empirical fact that the climate has becoming safer—in large part thanks to increased energy production</w:t>
      </w:r>
      <w:r>
        <w:t xml:space="preserve">. According to the EM-DAT (the authoritative International Disaster Database), </w:t>
      </w:r>
      <w:r w:rsidRPr="008F3075">
        <w:rPr>
          <w:u w:val="single"/>
        </w:rPr>
        <w:t>overall climate-related deaths are down 98% in the last 80 years. This is due to the proliferation of climate-protection technology</w:t>
      </w:r>
      <w:r>
        <w:t xml:space="preserve"> (climate control, sturdy homes, weather satellites, drought relief convoys, modern agriculture), </w:t>
      </w:r>
      <w:r w:rsidRPr="008F3075">
        <w:rPr>
          <w:u w:val="single"/>
        </w:rPr>
        <w:t>which are made possible by fossil fuels, especially oil</w:t>
      </w:r>
      <w:r>
        <w:t>.</w:t>
      </w:r>
    </w:p>
    <w:p w14:paraId="1C3EE7DA" w14:textId="533D7378" w:rsidR="00D92BA6" w:rsidRDefault="00376EE3" w:rsidP="00CC6A64">
      <w:pPr>
        <w:pStyle w:val="Contention1"/>
      </w:pPr>
      <w:bookmarkStart w:id="31" w:name="_Toc27600283"/>
      <w:r>
        <w:lastRenderedPageBreak/>
        <w:t>SOLVENCY</w:t>
      </w:r>
      <w:bookmarkEnd w:id="31"/>
    </w:p>
    <w:p w14:paraId="40A72BFD" w14:textId="050BB070" w:rsidR="001F1949" w:rsidRDefault="00376EE3" w:rsidP="00CC6A64">
      <w:pPr>
        <w:pStyle w:val="Contention1"/>
      </w:pPr>
      <w:bookmarkStart w:id="32" w:name="_Toc27600284"/>
      <w:r>
        <w:t xml:space="preserve">1.   </w:t>
      </w:r>
      <w:r w:rsidR="001F1949">
        <w:t>Request for subsidies proves plan will fail</w:t>
      </w:r>
      <w:bookmarkEnd w:id="32"/>
    </w:p>
    <w:p w14:paraId="4B5488AA" w14:textId="2277CA35" w:rsidR="001F1949" w:rsidRDefault="005F7F1B" w:rsidP="001F1949">
      <w:pPr>
        <w:pStyle w:val="Contention2"/>
      </w:pPr>
      <w:bookmarkStart w:id="33" w:name="_Toc27600285"/>
      <w:r>
        <w:t xml:space="preserve">AFF’s belief that their product </w:t>
      </w:r>
      <w:r w:rsidR="001F1949">
        <w:t>need</w:t>
      </w:r>
      <w:r>
        <w:t>s federal help proves it’s</w:t>
      </w:r>
      <w:r w:rsidR="001F1949">
        <w:t xml:space="preserve"> a bad idea.  If they were a good idea, private investors would fund them adequately</w:t>
      </w:r>
      <w:bookmarkEnd w:id="33"/>
    </w:p>
    <w:p w14:paraId="742BD06F" w14:textId="746573C4" w:rsidR="001F1949" w:rsidRPr="001F1949" w:rsidRDefault="001F1949" w:rsidP="001F1949">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20" w:history="1">
        <w:r w:rsidRPr="001F1949">
          <w:rPr>
            <w:rStyle w:val="Hyperlink"/>
            <w:color w:val="auto"/>
            <w:u w:val="none"/>
          </w:rPr>
          <w:t>https://www.mercatus.org/publications/government-spending/subsidies-are-problem-not-solution-innovation-energy</w:t>
        </w:r>
      </w:hyperlink>
    </w:p>
    <w:p w14:paraId="2C7C6186" w14:textId="5CB7F632" w:rsidR="001F1949" w:rsidRDefault="001F1949" w:rsidP="001F1949">
      <w:pPr>
        <w:pStyle w:val="Evidence"/>
        <w:rPr>
          <w:shd w:val="clear" w:color="auto" w:fill="FFFFFF"/>
        </w:rPr>
      </w:pPr>
      <w:r>
        <w:rPr>
          <w:shd w:val="clear" w:color="auto" w:fill="FFFFFF"/>
        </w:rPr>
        <w:t>Subsidies are justified as being necessary to encourage the development of alternative energies because the private sector is unwilling to undertake the risk necessary for their development. The truth is that private investors </w:t>
      </w:r>
      <w:r>
        <w:rPr>
          <w:i/>
          <w:iCs/>
          <w:shd w:val="clear" w:color="auto" w:fill="FFFFFF"/>
        </w:rPr>
        <w:t>should </w:t>
      </w:r>
      <w:r>
        <w:rPr>
          <w:shd w:val="clear" w:color="auto" w:fill="FFFFFF"/>
        </w:rPr>
        <w:t>avoid throwing scarce dollars at endeavors that do not make economic sense. Instances where the private sector will not invest signal that it would also be a bad idea for taxpayers to “invest.”</w:t>
      </w:r>
    </w:p>
    <w:p w14:paraId="6A440CD3" w14:textId="46D12010" w:rsidR="00A87DEE" w:rsidRDefault="00A87DEE" w:rsidP="00A87DEE">
      <w:pPr>
        <w:pStyle w:val="Contention1"/>
      </w:pPr>
      <w:bookmarkStart w:id="34" w:name="_Toc27600286"/>
      <w:r>
        <w:t>2.  Duplication and fragmentation</w:t>
      </w:r>
      <w:bookmarkEnd w:id="34"/>
      <w:r>
        <w:t xml:space="preserve"> </w:t>
      </w:r>
    </w:p>
    <w:p w14:paraId="5B70AEF4" w14:textId="5F7F8D51" w:rsidR="00A87DEE" w:rsidRDefault="00707B3D" w:rsidP="00A87DEE">
      <w:pPr>
        <w:pStyle w:val="Contention2"/>
      </w:pPr>
      <w:bookmarkStart w:id="35" w:name="_Toc27600287"/>
      <w:r>
        <w:t>Link:  Already 39</w:t>
      </w:r>
      <w:r w:rsidR="00A87DEE">
        <w:t xml:space="preserve"> programs doing the same thing</w:t>
      </w:r>
      <w:bookmarkEnd w:id="35"/>
    </w:p>
    <w:p w14:paraId="30B2D2B4" w14:textId="4256A9FF" w:rsidR="00A87DEE" w:rsidRDefault="00A87DEE" w:rsidP="00A87DEE">
      <w:pPr>
        <w:pStyle w:val="Evidence"/>
      </w:pPr>
      <w:r>
        <w:t>Cross Apply the Inherency and Topicality evidence.</w:t>
      </w:r>
    </w:p>
    <w:p w14:paraId="5FC7E2DF" w14:textId="7297EFDA" w:rsidR="00A87DEE" w:rsidRDefault="00A87DEE" w:rsidP="00A87DEE">
      <w:pPr>
        <w:pStyle w:val="Contention2"/>
      </w:pPr>
      <w:bookmarkStart w:id="36" w:name="_Toc27600288"/>
      <w:r>
        <w:t xml:space="preserve">A/T "Adding another program = better results" – Duplication just wastes money.  </w:t>
      </w:r>
      <w:proofErr w:type="spellStart"/>
      <w:r>
        <w:t>Dept</w:t>
      </w:r>
      <w:proofErr w:type="spellEnd"/>
      <w:r>
        <w:t xml:space="preserve"> of Energy is already bogged down with duplication &amp; fragmentation</w:t>
      </w:r>
      <w:bookmarkEnd w:id="36"/>
    </w:p>
    <w:p w14:paraId="55D828F9" w14:textId="186AB5C2" w:rsidR="00A87DEE" w:rsidRPr="00A87DEE" w:rsidRDefault="00A87DEE" w:rsidP="00A87DEE">
      <w:pPr>
        <w:pStyle w:val="Citation3"/>
      </w:pPr>
      <w:r w:rsidRPr="00A87DEE">
        <w:rPr>
          <w:u w:val="single"/>
        </w:rPr>
        <w:t>Doug Bandow 2012</w:t>
      </w:r>
      <w:r w:rsidRPr="00A87DEE">
        <w:t xml:space="preserve"> </w:t>
      </w:r>
      <w:r>
        <w:t>(</w:t>
      </w:r>
      <w:r w:rsidRPr="00A87DEE">
        <w:t xml:space="preserve">senior fellow at the Cato Institute and former special assistant to President Ronald Reagan) 12 Mar 2012 "Slash Federal Spending: GAO Details Waste, Inefficiency </w:t>
      </w:r>
      <w:proofErr w:type="gramStart"/>
      <w:r w:rsidRPr="00A87DEE">
        <w:t>And</w:t>
      </w:r>
      <w:proofErr w:type="gramEnd"/>
      <w:r w:rsidRPr="00A87DEE">
        <w:t xml:space="preserve"> Duplication (Again)" </w:t>
      </w:r>
      <w:hyperlink r:id="rId21" w:history="1">
        <w:r w:rsidRPr="00A87DEE">
          <w:rPr>
            <w:rStyle w:val="Hyperlink"/>
            <w:color w:val="auto"/>
            <w:u w:val="none"/>
          </w:rPr>
          <w:t>https://www.cato.org/publications/commentary/slash-federal-spending-gao-details-waste-inefficiency-duplication-again</w:t>
        </w:r>
      </w:hyperlink>
    </w:p>
    <w:p w14:paraId="16074A7A" w14:textId="71D8CEFA" w:rsidR="00A87DEE" w:rsidRPr="00A87DEE" w:rsidRDefault="00A87DEE" w:rsidP="00A87DEE">
      <w:pPr>
        <w:pStyle w:val="Evidence"/>
      </w:pPr>
      <w:r w:rsidRPr="00A87DEE">
        <w:t>Nearly 90 percent of the Department of Energy’s nearly $30 billion annual budget goes to contractors. Much of that money may be wasted. GAO determined that DOE “should assess whether further opportunities could be taken to streamline support functions, estimated to cost over $5 billion, at its contractor-managed laboratory and nuclear production and testing sites, in light of contractors’ historically fragmented approach to providing these functions.”</w:t>
      </w:r>
      <w:r>
        <w:t xml:space="preserve"> </w:t>
      </w:r>
      <w:r w:rsidRPr="00A87DEE">
        <w:t>Five federal agencies run 21 programs targeted on nuclear proliferation abroad. GAO reported: “none of the existing strategies and plans for coordinating federal efforts to prevent and detect nuclear smuggling and illicit nuclear transfers overseas incorporates all of the desirable characteristics of national strategies. GAO also identified potential fragmentation and overlap among some programs working in this area.”</w:t>
      </w:r>
    </w:p>
    <w:p w14:paraId="7F5A48CB" w14:textId="1F1C554A" w:rsidR="00A917C0" w:rsidRDefault="00707B3D" w:rsidP="00707B3D">
      <w:pPr>
        <w:pStyle w:val="Contention1"/>
      </w:pPr>
      <w:bookmarkStart w:id="37" w:name="_Toc27600289"/>
      <w:r>
        <w:lastRenderedPageBreak/>
        <w:t>3.   Real barriers not solved</w:t>
      </w:r>
      <w:bookmarkEnd w:id="37"/>
    </w:p>
    <w:p w14:paraId="1D00C9DB" w14:textId="20B2CE60" w:rsidR="00707B3D" w:rsidRDefault="00707B3D" w:rsidP="00707B3D">
      <w:pPr>
        <w:pStyle w:val="Contention2"/>
      </w:pPr>
      <w:bookmarkStart w:id="38" w:name="_Toc27600290"/>
      <w:r>
        <w:t>Regulatory barriers slowing/blocking energy storage deployment</w:t>
      </w:r>
      <w:bookmarkEnd w:id="38"/>
      <w:r>
        <w:t xml:space="preserve"> </w:t>
      </w:r>
    </w:p>
    <w:p w14:paraId="48330DF5" w14:textId="77777777" w:rsidR="00707B3D" w:rsidRDefault="00707B3D" w:rsidP="00707B3D">
      <w:pPr>
        <w:pStyle w:val="Citation3"/>
      </w:pPr>
      <w:r w:rsidRPr="00AE39EE">
        <w:rPr>
          <w:u w:val="single"/>
        </w:rPr>
        <w:t>Government Accountability Office 2018</w:t>
      </w:r>
      <w:r>
        <w:t xml:space="preserve"> (audit, evaluation, and investigative arm of Congress) May 2018 “Information on Challenges to Deployment for Electricity Grid Operations and Efforts to Address Them</w:t>
      </w:r>
      <w:proofErr w:type="gramStart"/>
      <w:r>
        <w:t xml:space="preserve">”  </w:t>
      </w:r>
      <w:proofErr w:type="gramEnd"/>
      <w:r>
        <w:fldChar w:fldCharType="begin"/>
      </w:r>
      <w:r>
        <w:instrText xml:space="preserve"> HYPERLINK "https://www.gao.gov/assets/700/691983.pdf" </w:instrText>
      </w:r>
      <w:r>
        <w:fldChar w:fldCharType="separate"/>
      </w:r>
      <w:r>
        <w:rPr>
          <w:rStyle w:val="Hyperlink"/>
        </w:rPr>
        <w:t>https://www.gao.gov/assets/700/691983.pdf</w:t>
      </w:r>
      <w:r>
        <w:fldChar w:fldCharType="end"/>
      </w:r>
    </w:p>
    <w:p w14:paraId="4B774497" w14:textId="4AA744D2" w:rsidR="00707B3D" w:rsidRDefault="00707B3D" w:rsidP="00707B3D">
      <w:pPr>
        <w:pStyle w:val="Evidence"/>
        <w:rPr>
          <w:b/>
        </w:rPr>
      </w:pPr>
      <w:r>
        <w:t xml:space="preserve">The regulatory environment can pose barriers to the deployment of energy storage. Specifically, market rules and regulations do not always clearly address whether entities may own and operate storage assets and how, if at all, the cost of investments in storage assets </w:t>
      </w:r>
      <w:proofErr w:type="gramStart"/>
      <w:r>
        <w:t>can be recovered</w:t>
      </w:r>
      <w:proofErr w:type="gramEnd"/>
      <w:r>
        <w:t xml:space="preserve">, according to several studies we reviewed and stakeholders we interviewed. In addition, each RTO establishes the rules in a different way, and their implementation of reforms to accommodate storage varies, according to studies and documents we reviewed and stakeholders we spoke </w:t>
      </w:r>
      <w:proofErr w:type="gramStart"/>
      <w:r>
        <w:t>with</w:t>
      </w:r>
      <w:proofErr w:type="gramEnd"/>
      <w:r>
        <w:t xml:space="preserve">. According to a FERC document, under current market rules, resource bidding parameters—the physical and operational constraints that a resource identifies when submitting offers to sell services in electricity markets—vary greatly among the RTOs.  Moreover, state regulators and RTOs may be slow to change their policies and rules to address energy storage, and delays in such changes hinder deployment, according to some studies we reviewed. In RTO regions, some states do not allow utilities to own generation assets, and when storage </w:t>
      </w:r>
      <w:proofErr w:type="gramStart"/>
      <w:r>
        <w:t>is classified</w:t>
      </w:r>
      <w:proofErr w:type="gramEnd"/>
      <w:r>
        <w:t xml:space="preserve"> as a generation asset, an electric utility can be prevented from owning storage. Moreover, when market rules do not clearly define what type of asset they consider storage to be, this can make it difficult to determine whether storage can participate in the market or to receive compensation, making storage in that market financially unviable, according to some studies and stakeholders.</w:t>
      </w:r>
    </w:p>
    <w:p w14:paraId="1134A02D" w14:textId="5AC62A86" w:rsidR="00B84773" w:rsidRDefault="00C7428A" w:rsidP="00C7428A">
      <w:pPr>
        <w:pStyle w:val="Contention1"/>
      </w:pPr>
      <w:bookmarkStart w:id="39" w:name="_Toc27600291"/>
      <w:r>
        <w:t>DISADVANTAGES</w:t>
      </w:r>
      <w:bookmarkEnd w:id="39"/>
      <w:r>
        <w:t xml:space="preserve"> </w:t>
      </w:r>
    </w:p>
    <w:p w14:paraId="2B8BCD1A" w14:textId="22204C04" w:rsidR="002805D4" w:rsidRDefault="00250A54" w:rsidP="002805D4">
      <w:pPr>
        <w:pStyle w:val="Contention1"/>
        <w:rPr>
          <w:rStyle w:val="Emphasis"/>
          <w:rFonts w:eastAsia="Arial"/>
          <w:i w:val="0"/>
          <w:iCs w:val="0"/>
        </w:rPr>
      </w:pPr>
      <w:bookmarkStart w:id="40" w:name="_Toc25918421"/>
      <w:bookmarkStart w:id="41" w:name="_Toc27600292"/>
      <w:r>
        <w:rPr>
          <w:rStyle w:val="Emphasis"/>
          <w:rFonts w:eastAsia="Arial"/>
          <w:i w:val="0"/>
          <w:iCs w:val="0"/>
        </w:rPr>
        <w:t xml:space="preserve">1.  </w:t>
      </w:r>
      <w:r w:rsidR="00361375">
        <w:rPr>
          <w:rStyle w:val="Emphasis"/>
          <w:rFonts w:eastAsia="Arial"/>
          <w:i w:val="0"/>
          <w:iCs w:val="0"/>
        </w:rPr>
        <w:t>Federal deficit</w:t>
      </w:r>
      <w:bookmarkEnd w:id="41"/>
    </w:p>
    <w:p w14:paraId="2E482E2D" w14:textId="4FBA0328" w:rsidR="00361375" w:rsidRDefault="00361375" w:rsidP="00361375">
      <w:pPr>
        <w:pStyle w:val="Contention2"/>
        <w:rPr>
          <w:rStyle w:val="Emphasis"/>
          <w:rFonts w:eastAsia="Arial"/>
          <w:i w:val="0"/>
          <w:iCs w:val="0"/>
        </w:rPr>
      </w:pPr>
      <w:bookmarkStart w:id="42" w:name="_Toc27600293"/>
      <w:r>
        <w:rPr>
          <w:rStyle w:val="Emphasis"/>
          <w:rFonts w:eastAsia="Arial"/>
          <w:i w:val="0"/>
          <w:iCs w:val="0"/>
        </w:rPr>
        <w:t>Link:  Plan increases federal spending</w:t>
      </w:r>
      <w:bookmarkEnd w:id="42"/>
    </w:p>
    <w:p w14:paraId="2E17E675" w14:textId="785C4624" w:rsidR="00361375" w:rsidRDefault="00361375" w:rsidP="00361375">
      <w:pPr>
        <w:pStyle w:val="Evidence"/>
        <w:rPr>
          <w:rStyle w:val="Emphasis"/>
          <w:rFonts w:eastAsia="Arial"/>
          <w:i w:val="0"/>
          <w:iCs w:val="0"/>
        </w:rPr>
      </w:pPr>
      <w:r>
        <w:rPr>
          <w:rStyle w:val="Emphasis"/>
          <w:rFonts w:eastAsia="Arial"/>
          <w:i w:val="0"/>
          <w:iCs w:val="0"/>
        </w:rPr>
        <w:t>It's in their plan.</w:t>
      </w:r>
    </w:p>
    <w:p w14:paraId="47573A16" w14:textId="131A6389" w:rsidR="00361375" w:rsidRDefault="00361375" w:rsidP="00361375">
      <w:pPr>
        <w:pStyle w:val="Contention2"/>
        <w:rPr>
          <w:rStyle w:val="Emphasis"/>
          <w:rFonts w:eastAsia="Arial"/>
          <w:i w:val="0"/>
          <w:iCs w:val="0"/>
        </w:rPr>
      </w:pPr>
      <w:bookmarkStart w:id="43" w:name="_Toc27600294"/>
      <w:r>
        <w:rPr>
          <w:rStyle w:val="Emphasis"/>
          <w:rFonts w:eastAsia="Arial"/>
          <w:i w:val="0"/>
          <w:iCs w:val="0"/>
        </w:rPr>
        <w:t>Impact:   Every increase in the deficit hurts the economy</w:t>
      </w:r>
      <w:bookmarkEnd w:id="43"/>
    </w:p>
    <w:p w14:paraId="60B98BD9" w14:textId="77777777" w:rsidR="00AE58FE" w:rsidRPr="00AE58FE" w:rsidRDefault="00AE58FE" w:rsidP="00AE58FE">
      <w:pPr>
        <w:pStyle w:val="Citation3"/>
        <w:rPr>
          <w:rStyle w:val="Emphasis"/>
          <w:i/>
          <w:iCs w:val="0"/>
        </w:rPr>
      </w:pPr>
      <w:proofErr w:type="spellStart"/>
      <w:r w:rsidRPr="00AE58FE">
        <w:rPr>
          <w:rStyle w:val="Emphasis"/>
          <w:i/>
          <w:iCs w:val="0"/>
          <w:u w:val="single"/>
        </w:rPr>
        <w:t>Dr</w:t>
      </w:r>
      <w:proofErr w:type="spellEnd"/>
      <w:r w:rsidRPr="00AE58FE">
        <w:rPr>
          <w:rStyle w:val="Emphasis"/>
          <w:i/>
          <w:iCs w:val="0"/>
          <w:u w:val="single"/>
        </w:rPr>
        <w:t xml:space="preserve"> William Gale and Benjamin Harris 2010</w:t>
      </w:r>
      <w:r w:rsidRPr="00AE58FE">
        <w:rPr>
          <w:rStyle w:val="Emphasis"/>
          <w:i/>
          <w:iCs w:val="0"/>
        </w:rPr>
        <w:t xml:space="preserve">. </w:t>
      </w:r>
      <w:proofErr w:type="gramStart"/>
      <w:r w:rsidRPr="00AE58FE">
        <w:rPr>
          <w:rStyle w:val="Emphasis"/>
          <w:i/>
          <w:iCs w:val="0"/>
        </w:rPr>
        <w:t xml:space="preserve">(Gale - PhD in economics, Stanford Univ.; senior fellow at the Brookings Institution and co-director of the Urban-Brookings Tax Policy Center; former assistant professor of Economics at UCLA, and a senior economist for the Council of Economic Advisers under President George H.W. Bush; Harris - master’s degree in economics from Cornell </w:t>
      </w:r>
      <w:proofErr w:type="spellStart"/>
      <w:r w:rsidRPr="00AE58FE">
        <w:rPr>
          <w:rStyle w:val="Emphasis"/>
          <w:i/>
          <w:iCs w:val="0"/>
        </w:rPr>
        <w:t>Univ</w:t>
      </w:r>
      <w:proofErr w:type="spellEnd"/>
      <w:r w:rsidRPr="00AE58FE">
        <w:rPr>
          <w:rStyle w:val="Emphasis"/>
          <w:i/>
          <w:iCs w:val="0"/>
        </w:rPr>
        <w:t xml:space="preserve"> and master’s degree in quantitative methods from Columbia University; senior research associate with the Economics Studies Program at the Brookings Institution)</w:t>
      </w:r>
      <w:proofErr w:type="gramEnd"/>
      <w:r w:rsidRPr="00AE58FE">
        <w:rPr>
          <w:rStyle w:val="Emphasis"/>
          <w:i/>
          <w:iCs w:val="0"/>
        </w:rPr>
        <w:t xml:space="preserve"> “A VAT for the United States: Part of the Solution</w:t>
      </w:r>
      <w:proofErr w:type="gramStart"/>
      <w:r w:rsidRPr="00AE58FE">
        <w:rPr>
          <w:rStyle w:val="Emphasis"/>
          <w:i/>
          <w:iCs w:val="0"/>
        </w:rPr>
        <w:t>”  (</w:t>
      </w:r>
      <w:proofErr w:type="gramEnd"/>
      <w:r w:rsidRPr="00AE58FE">
        <w:rPr>
          <w:rStyle w:val="Emphasis"/>
          <w:i/>
          <w:iCs w:val="0"/>
        </w:rPr>
        <w:t>notes about the date:  This article is one of several in the overall publication at this source. The publication date was 2011, but this article was written in 2010) http://www.taxcareerdigest.com/articles/VATReader.pdf</w:t>
      </w:r>
    </w:p>
    <w:p w14:paraId="3B7BAFF7" w14:textId="5D18D0A8" w:rsidR="00361375" w:rsidRDefault="00AE58FE" w:rsidP="00AE58FE">
      <w:pPr>
        <w:pStyle w:val="Evidence"/>
        <w:rPr>
          <w:rStyle w:val="Emphasis"/>
          <w:rFonts w:eastAsia="Arial"/>
          <w:i w:val="0"/>
          <w:iCs w:val="0"/>
        </w:rPr>
      </w:pPr>
      <w:r w:rsidRPr="00AE58FE">
        <w:rPr>
          <w:rStyle w:val="Emphasis"/>
          <w:rFonts w:eastAsia="Arial"/>
          <w:i w:val="0"/>
          <w:iCs w:val="0"/>
        </w:rPr>
        <w:t>But even in the absence of a crisis, sustained deficits have deleterious effects, as they translate into lower national savings, higher interest rates, and increased indebtedness to foreign investors, all of which serve to reduce future national income. Gale and Orszag (2004a) estimate that a 1 percent of GDP increase in the deficit will raise interest rates by 25 to 35 basis points and reduce national saving by 0.5 to 0.8 percentage points of GDP.</w:t>
      </w:r>
    </w:p>
    <w:p w14:paraId="5A0BCC8B" w14:textId="513DF890" w:rsidR="00A81C7A" w:rsidRDefault="00A81C7A" w:rsidP="00A81C7A">
      <w:pPr>
        <w:pStyle w:val="Contention1"/>
      </w:pPr>
      <w:bookmarkStart w:id="44" w:name="_Toc26732755"/>
      <w:bookmarkStart w:id="45" w:name="_Toc27600295"/>
      <w:r>
        <w:lastRenderedPageBreak/>
        <w:t>2.   Research &amp; Technology set-back</w:t>
      </w:r>
      <w:bookmarkEnd w:id="44"/>
      <w:bookmarkEnd w:id="45"/>
    </w:p>
    <w:p w14:paraId="11B2C3AB" w14:textId="77777777" w:rsidR="00A81C7A" w:rsidRDefault="00A81C7A" w:rsidP="00A81C7A">
      <w:pPr>
        <w:pStyle w:val="Contention2"/>
      </w:pPr>
      <w:bookmarkStart w:id="46" w:name="_Toc26732756"/>
      <w:bookmarkStart w:id="47" w:name="_Toc27600296"/>
      <w:r>
        <w:t>Link:  Federal assistance delays the arrival of better alternatives and ultimately sets back technological development</w:t>
      </w:r>
      <w:bookmarkEnd w:id="46"/>
      <w:bookmarkEnd w:id="47"/>
    </w:p>
    <w:p w14:paraId="1209426D" w14:textId="77777777" w:rsidR="00A81C7A" w:rsidRPr="001F1949" w:rsidRDefault="00A81C7A" w:rsidP="00A81C7A">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22" w:history="1">
        <w:r w:rsidRPr="001F1949">
          <w:rPr>
            <w:rStyle w:val="Hyperlink"/>
            <w:color w:val="auto"/>
            <w:u w:val="none"/>
          </w:rPr>
          <w:t>https://www.mercatus.org/publications/government-spending/subsidies-are-problem-not-solution-innovation-energy</w:t>
        </w:r>
      </w:hyperlink>
    </w:p>
    <w:p w14:paraId="08461822" w14:textId="77777777" w:rsidR="00A81C7A" w:rsidRDefault="00A81C7A" w:rsidP="00A81C7A">
      <w:pPr>
        <w:pStyle w:val="Evidence"/>
      </w:pPr>
      <w:r>
        <w:t xml:space="preserve">Even the supposed “success stories” that government officials and the direct beneficiaries of subsidies like to tout at congressional hearings do not come without cost. In addition to the taxpayer money that’s spent when policymakers try to steer the market in certain directions, </w:t>
      </w:r>
      <w:r w:rsidRPr="00B35002">
        <w:rPr>
          <w:u w:val="single"/>
        </w:rPr>
        <w:t xml:space="preserve">government intervention can also delay the development of superior alternatives by companies and entrepreneurs who didn’t receive government backing. Worse, young companies and entrepreneurs can have a harder time acquiring capital because private investors usually prefer to provide capital to projects that are subsidized over ones that are not. </w:t>
      </w:r>
      <w:r w:rsidRPr="00B35002">
        <w:t>In a 2009 article in </w:t>
      </w:r>
      <w:proofErr w:type="gramStart"/>
      <w:r w:rsidRPr="00B35002">
        <w:rPr>
          <w:i/>
          <w:iCs/>
        </w:rPr>
        <w:t>Wired</w:t>
      </w:r>
      <w:proofErr w:type="gramEnd"/>
      <w:r w:rsidRPr="00B35002">
        <w:rPr>
          <w:i/>
          <w:iCs/>
        </w:rPr>
        <w:t> </w:t>
      </w:r>
      <w:r w:rsidRPr="00B35002">
        <w:t>magazine,</w:t>
      </w:r>
      <w:r w:rsidRPr="00B35002">
        <w:rPr>
          <w:u w:val="single"/>
        </w:rPr>
        <w:t xml:space="preserve"> Darryl </w:t>
      </w:r>
      <w:proofErr w:type="spellStart"/>
      <w:r w:rsidRPr="00B35002">
        <w:rPr>
          <w:u w:val="single"/>
        </w:rPr>
        <w:t>Siry</w:t>
      </w:r>
      <w:proofErr w:type="spellEnd"/>
      <w:r w:rsidRPr="00B35002">
        <w:rPr>
          <w:u w:val="single"/>
        </w:rPr>
        <w:t>, a former executive with Tesla Motors, which has benefitted from government handouts, wrote that startup companies applying for energy subsidies “have admitted that private fundraising is complicated by investor expectations of government support.” He noted that the government trying to pick winners distorts the market for private capital, which “will have a stifling effect on innovation, as private capital chases fewer deals and companies that do not have government backing have a harder time attracting private capital.</w:t>
      </w:r>
      <w:r>
        <w:t>”</w:t>
      </w:r>
    </w:p>
    <w:p w14:paraId="04187D3D" w14:textId="77777777" w:rsidR="00A81C7A" w:rsidRDefault="00A81C7A" w:rsidP="00A81C7A">
      <w:pPr>
        <w:pStyle w:val="Contention2"/>
      </w:pPr>
      <w:bookmarkStart w:id="48" w:name="_Toc26732757"/>
      <w:bookmarkStart w:id="49" w:name="_Toc27600297"/>
      <w:r>
        <w:t>Impact:  Turn the AFF harms</w:t>
      </w:r>
      <w:bookmarkEnd w:id="48"/>
      <w:bookmarkEnd w:id="49"/>
    </w:p>
    <w:p w14:paraId="3A893912" w14:textId="33CEB081" w:rsidR="00A81C7A" w:rsidRDefault="00A81C7A" w:rsidP="00A81C7A">
      <w:pPr>
        <w:pStyle w:val="Evidence"/>
      </w:pPr>
      <w:r>
        <w:t xml:space="preserve">Whatever the harm is to failing to develop this technology, it gets worse if you vote </w:t>
      </w:r>
      <w:proofErr w:type="gramStart"/>
      <w:r>
        <w:t>Affirmative</w:t>
      </w:r>
      <w:proofErr w:type="gramEnd"/>
      <w:r>
        <w:t xml:space="preserve"> because the plan sets back tech development.</w:t>
      </w:r>
    </w:p>
    <w:p w14:paraId="5A1D2EED" w14:textId="77777777" w:rsidR="00250A54" w:rsidRDefault="00250A54" w:rsidP="002805D4">
      <w:pPr>
        <w:pStyle w:val="Contention1"/>
        <w:rPr>
          <w:rStyle w:val="Emphasis"/>
          <w:rFonts w:eastAsia="Arial"/>
          <w:i w:val="0"/>
          <w:iCs w:val="0"/>
        </w:rPr>
      </w:pPr>
    </w:p>
    <w:p w14:paraId="282A734C" w14:textId="48CBE335" w:rsidR="00D462AA" w:rsidRDefault="00D462AA" w:rsidP="00D462AA">
      <w:pPr>
        <w:pStyle w:val="Title2"/>
      </w:pPr>
      <w:bookmarkStart w:id="50" w:name="_Toc27600298"/>
      <w:bookmarkEnd w:id="40"/>
      <w:r>
        <w:lastRenderedPageBreak/>
        <w:t>Works Cited</w:t>
      </w:r>
      <w:bookmarkEnd w:id="50"/>
    </w:p>
    <w:p w14:paraId="37D888D6" w14:textId="2696A7D5" w:rsidR="00EA565D" w:rsidRPr="00D922B2" w:rsidRDefault="00F179B8" w:rsidP="00B35002">
      <w:pPr>
        <w:pStyle w:val="TOC4"/>
        <w:tabs>
          <w:tab w:val="right" w:leader="dot" w:pos="9350"/>
        </w:tabs>
      </w:pPr>
      <w:r>
        <w:rPr>
          <w:noProof/>
        </w:rPr>
        <w:fldChar w:fldCharType="begin"/>
      </w:r>
      <w:r>
        <w:rPr>
          <w:noProof/>
        </w:rPr>
        <w:instrText xml:space="preserve"> TOC \o "1-4" \n \t "Citation3,4" </w:instrText>
      </w:r>
      <w:r>
        <w:rPr>
          <w:noProof/>
        </w:rPr>
        <w:fldChar w:fldCharType="separate"/>
      </w:r>
      <w:r w:rsidR="00376EE3" w:rsidRPr="0061389E">
        <w:rPr>
          <w:noProof/>
        </w:rPr>
        <w:t xml:space="preserve">Julian </w:t>
      </w:r>
      <w:r>
        <w:rPr>
          <w:noProof/>
        </w:rPr>
        <w:fldChar w:fldCharType="end"/>
      </w:r>
    </w:p>
    <w:sectPr w:rsidR="00EA565D" w:rsidRPr="00D922B2" w:rsidSect="00F04C23">
      <w:headerReference w:type="default" r:id="rId23"/>
      <w:footerReference w:type="default" r:id="rId2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79418" w14:textId="77777777" w:rsidR="0057113C" w:rsidRDefault="0057113C" w:rsidP="001D5FD6">
      <w:pPr>
        <w:spacing w:after="0" w:line="240" w:lineRule="auto"/>
      </w:pPr>
      <w:r>
        <w:separator/>
      </w:r>
    </w:p>
    <w:p w14:paraId="0CD96325" w14:textId="77777777" w:rsidR="0057113C" w:rsidRDefault="0057113C"/>
    <w:p w14:paraId="0ABD30D3" w14:textId="77777777" w:rsidR="0057113C" w:rsidRDefault="0057113C"/>
  </w:endnote>
  <w:endnote w:type="continuationSeparator" w:id="0">
    <w:p w14:paraId="7BD340D1" w14:textId="77777777" w:rsidR="0057113C" w:rsidRDefault="0057113C" w:rsidP="001D5FD6">
      <w:pPr>
        <w:spacing w:after="0" w:line="240" w:lineRule="auto"/>
      </w:pPr>
      <w:r>
        <w:continuationSeparator/>
      </w:r>
    </w:p>
    <w:p w14:paraId="726A9366" w14:textId="77777777" w:rsidR="0057113C" w:rsidRDefault="0057113C"/>
    <w:p w14:paraId="7DA5AB75" w14:textId="77777777" w:rsidR="0057113C" w:rsidRDefault="00571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25DEC13D" w:rsidR="00707B3D" w:rsidRDefault="00707B3D"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F06009">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F06009">
      <w:rPr>
        <w:noProof/>
        <w:sz w:val="24"/>
        <w:szCs w:val="24"/>
      </w:rPr>
      <w:t>11</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707B3D" w:rsidRDefault="00707B3D"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707B3D" w:rsidRPr="00303BC4" w:rsidRDefault="00707B3D"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19FDC" w14:textId="77777777" w:rsidR="0057113C" w:rsidRDefault="0057113C" w:rsidP="001D5FD6">
      <w:pPr>
        <w:spacing w:after="0" w:line="240" w:lineRule="auto"/>
      </w:pPr>
      <w:r>
        <w:separator/>
      </w:r>
    </w:p>
    <w:p w14:paraId="08AEAB9E" w14:textId="77777777" w:rsidR="0057113C" w:rsidRDefault="0057113C"/>
    <w:p w14:paraId="2FFA8712" w14:textId="77777777" w:rsidR="0057113C" w:rsidRDefault="0057113C"/>
  </w:footnote>
  <w:footnote w:type="continuationSeparator" w:id="0">
    <w:p w14:paraId="14730941" w14:textId="77777777" w:rsidR="0057113C" w:rsidRDefault="0057113C" w:rsidP="001D5FD6">
      <w:pPr>
        <w:spacing w:after="0" w:line="240" w:lineRule="auto"/>
      </w:pPr>
      <w:r>
        <w:continuationSeparator/>
      </w:r>
    </w:p>
    <w:p w14:paraId="1C36CE71" w14:textId="77777777" w:rsidR="0057113C" w:rsidRDefault="0057113C"/>
    <w:p w14:paraId="7D9A97FE" w14:textId="77777777" w:rsidR="0057113C" w:rsidRDefault="005711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037D4" w14:textId="22DF7012" w:rsidR="00707B3D" w:rsidRDefault="00707B3D" w:rsidP="007045AC">
    <w:pPr>
      <w:pStyle w:val="Footer"/>
    </w:pPr>
    <w:r>
      <w:t>Negative:  B.E.S.T. 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07079"/>
    <w:rsid w:val="00011BF9"/>
    <w:rsid w:val="00037367"/>
    <w:rsid w:val="00037C74"/>
    <w:rsid w:val="00045819"/>
    <w:rsid w:val="00050B5C"/>
    <w:rsid w:val="000519FE"/>
    <w:rsid w:val="000538A5"/>
    <w:rsid w:val="00062984"/>
    <w:rsid w:val="0007056F"/>
    <w:rsid w:val="00084B45"/>
    <w:rsid w:val="0008580D"/>
    <w:rsid w:val="0008674B"/>
    <w:rsid w:val="0009425D"/>
    <w:rsid w:val="000948EB"/>
    <w:rsid w:val="0009716A"/>
    <w:rsid w:val="000A0557"/>
    <w:rsid w:val="000B0848"/>
    <w:rsid w:val="000B3CC7"/>
    <w:rsid w:val="000B504C"/>
    <w:rsid w:val="000C0767"/>
    <w:rsid w:val="000C54F8"/>
    <w:rsid w:val="000D3779"/>
    <w:rsid w:val="000D5C9A"/>
    <w:rsid w:val="000E0286"/>
    <w:rsid w:val="000E04AA"/>
    <w:rsid w:val="000F24E5"/>
    <w:rsid w:val="000F546C"/>
    <w:rsid w:val="000F5B0E"/>
    <w:rsid w:val="00105BD1"/>
    <w:rsid w:val="0013546D"/>
    <w:rsid w:val="001361FB"/>
    <w:rsid w:val="0015137D"/>
    <w:rsid w:val="0015488C"/>
    <w:rsid w:val="0017181C"/>
    <w:rsid w:val="00181EC3"/>
    <w:rsid w:val="00190F49"/>
    <w:rsid w:val="00194D92"/>
    <w:rsid w:val="00196952"/>
    <w:rsid w:val="00196DF5"/>
    <w:rsid w:val="001A14A9"/>
    <w:rsid w:val="001A506B"/>
    <w:rsid w:val="001C036D"/>
    <w:rsid w:val="001C213C"/>
    <w:rsid w:val="001D5FD6"/>
    <w:rsid w:val="001E3834"/>
    <w:rsid w:val="001F0ADE"/>
    <w:rsid w:val="001F1949"/>
    <w:rsid w:val="001F6768"/>
    <w:rsid w:val="00201915"/>
    <w:rsid w:val="0020276C"/>
    <w:rsid w:val="00210173"/>
    <w:rsid w:val="00213EE2"/>
    <w:rsid w:val="002167E6"/>
    <w:rsid w:val="00236F83"/>
    <w:rsid w:val="002438CB"/>
    <w:rsid w:val="00250A54"/>
    <w:rsid w:val="002558C7"/>
    <w:rsid w:val="00265032"/>
    <w:rsid w:val="00265E15"/>
    <w:rsid w:val="002732DD"/>
    <w:rsid w:val="002805D4"/>
    <w:rsid w:val="002838EE"/>
    <w:rsid w:val="00284528"/>
    <w:rsid w:val="0028462E"/>
    <w:rsid w:val="002847EA"/>
    <w:rsid w:val="00285587"/>
    <w:rsid w:val="00290BD7"/>
    <w:rsid w:val="002938DF"/>
    <w:rsid w:val="00296C2E"/>
    <w:rsid w:val="002A018C"/>
    <w:rsid w:val="002A286B"/>
    <w:rsid w:val="002A72DE"/>
    <w:rsid w:val="002C1829"/>
    <w:rsid w:val="002C20CF"/>
    <w:rsid w:val="002C4542"/>
    <w:rsid w:val="002D1F9C"/>
    <w:rsid w:val="002D2C8E"/>
    <w:rsid w:val="002D6A50"/>
    <w:rsid w:val="002E0230"/>
    <w:rsid w:val="002E07F2"/>
    <w:rsid w:val="002E7D31"/>
    <w:rsid w:val="003003CF"/>
    <w:rsid w:val="00301783"/>
    <w:rsid w:val="00302028"/>
    <w:rsid w:val="00303BC4"/>
    <w:rsid w:val="00305472"/>
    <w:rsid w:val="00313DAC"/>
    <w:rsid w:val="003152E0"/>
    <w:rsid w:val="003153FF"/>
    <w:rsid w:val="003252AF"/>
    <w:rsid w:val="003276F1"/>
    <w:rsid w:val="00333184"/>
    <w:rsid w:val="00361375"/>
    <w:rsid w:val="00373DA9"/>
    <w:rsid w:val="00375D3A"/>
    <w:rsid w:val="00376EE3"/>
    <w:rsid w:val="00380948"/>
    <w:rsid w:val="0038350B"/>
    <w:rsid w:val="00391D35"/>
    <w:rsid w:val="00394FA5"/>
    <w:rsid w:val="00395227"/>
    <w:rsid w:val="00395474"/>
    <w:rsid w:val="003965EC"/>
    <w:rsid w:val="00396B4A"/>
    <w:rsid w:val="003A3751"/>
    <w:rsid w:val="003B252C"/>
    <w:rsid w:val="003C37BD"/>
    <w:rsid w:val="003C7CF4"/>
    <w:rsid w:val="003E478B"/>
    <w:rsid w:val="003E4ED3"/>
    <w:rsid w:val="003E6942"/>
    <w:rsid w:val="003F1151"/>
    <w:rsid w:val="003F5C4E"/>
    <w:rsid w:val="003F669E"/>
    <w:rsid w:val="003F7D2A"/>
    <w:rsid w:val="00401258"/>
    <w:rsid w:val="00403FEC"/>
    <w:rsid w:val="004051DC"/>
    <w:rsid w:val="0042262F"/>
    <w:rsid w:val="00422A81"/>
    <w:rsid w:val="004442CE"/>
    <w:rsid w:val="00444333"/>
    <w:rsid w:val="00445E7A"/>
    <w:rsid w:val="00453F18"/>
    <w:rsid w:val="00454B16"/>
    <w:rsid w:val="004555FD"/>
    <w:rsid w:val="0045767E"/>
    <w:rsid w:val="00457835"/>
    <w:rsid w:val="00461E5E"/>
    <w:rsid w:val="004639D6"/>
    <w:rsid w:val="004724B8"/>
    <w:rsid w:val="004731D9"/>
    <w:rsid w:val="00477021"/>
    <w:rsid w:val="0049656E"/>
    <w:rsid w:val="004969CB"/>
    <w:rsid w:val="004969CF"/>
    <w:rsid w:val="004A276D"/>
    <w:rsid w:val="004C3FC6"/>
    <w:rsid w:val="004D148E"/>
    <w:rsid w:val="004F011F"/>
    <w:rsid w:val="004F139E"/>
    <w:rsid w:val="00501F49"/>
    <w:rsid w:val="00502AA2"/>
    <w:rsid w:val="005111F7"/>
    <w:rsid w:val="00520F71"/>
    <w:rsid w:val="00553F1B"/>
    <w:rsid w:val="00565C56"/>
    <w:rsid w:val="0057113C"/>
    <w:rsid w:val="00593922"/>
    <w:rsid w:val="00594AE7"/>
    <w:rsid w:val="005A01B9"/>
    <w:rsid w:val="005A0856"/>
    <w:rsid w:val="005A40C1"/>
    <w:rsid w:val="005B1129"/>
    <w:rsid w:val="005E2B5A"/>
    <w:rsid w:val="005F7F1B"/>
    <w:rsid w:val="00616E3B"/>
    <w:rsid w:val="006258CC"/>
    <w:rsid w:val="006308D2"/>
    <w:rsid w:val="006359AF"/>
    <w:rsid w:val="00641172"/>
    <w:rsid w:val="006454BC"/>
    <w:rsid w:val="00647B08"/>
    <w:rsid w:val="006540DC"/>
    <w:rsid w:val="00660055"/>
    <w:rsid w:val="006629BD"/>
    <w:rsid w:val="006714DF"/>
    <w:rsid w:val="00674F77"/>
    <w:rsid w:val="00675DC1"/>
    <w:rsid w:val="00680A38"/>
    <w:rsid w:val="00683A88"/>
    <w:rsid w:val="00686C35"/>
    <w:rsid w:val="00692654"/>
    <w:rsid w:val="00697B6D"/>
    <w:rsid w:val="00697C05"/>
    <w:rsid w:val="006A2CBF"/>
    <w:rsid w:val="006A5945"/>
    <w:rsid w:val="006A5C68"/>
    <w:rsid w:val="006A70E6"/>
    <w:rsid w:val="006B000C"/>
    <w:rsid w:val="006B53A4"/>
    <w:rsid w:val="006B5C75"/>
    <w:rsid w:val="006C4265"/>
    <w:rsid w:val="006C457B"/>
    <w:rsid w:val="006C6302"/>
    <w:rsid w:val="006D3F93"/>
    <w:rsid w:val="006E03C9"/>
    <w:rsid w:val="006E6A6C"/>
    <w:rsid w:val="006F18BA"/>
    <w:rsid w:val="006F5487"/>
    <w:rsid w:val="00700114"/>
    <w:rsid w:val="007006E3"/>
    <w:rsid w:val="00700C0A"/>
    <w:rsid w:val="0070221F"/>
    <w:rsid w:val="007045AC"/>
    <w:rsid w:val="00707B3D"/>
    <w:rsid w:val="00720189"/>
    <w:rsid w:val="0072413B"/>
    <w:rsid w:val="007254F4"/>
    <w:rsid w:val="0072778E"/>
    <w:rsid w:val="00732989"/>
    <w:rsid w:val="0073488F"/>
    <w:rsid w:val="00737918"/>
    <w:rsid w:val="00744919"/>
    <w:rsid w:val="00744B8F"/>
    <w:rsid w:val="00746139"/>
    <w:rsid w:val="00756E9F"/>
    <w:rsid w:val="007571F3"/>
    <w:rsid w:val="00762EB7"/>
    <w:rsid w:val="007658BB"/>
    <w:rsid w:val="007679E5"/>
    <w:rsid w:val="00775EB7"/>
    <w:rsid w:val="00780657"/>
    <w:rsid w:val="0078714A"/>
    <w:rsid w:val="007B39AF"/>
    <w:rsid w:val="007B4BA3"/>
    <w:rsid w:val="007B6228"/>
    <w:rsid w:val="007B6FA0"/>
    <w:rsid w:val="007C1B6A"/>
    <w:rsid w:val="007C74BB"/>
    <w:rsid w:val="007C7916"/>
    <w:rsid w:val="007D0997"/>
    <w:rsid w:val="007D2883"/>
    <w:rsid w:val="007E770A"/>
    <w:rsid w:val="007F1EFF"/>
    <w:rsid w:val="007F6B0C"/>
    <w:rsid w:val="00801E3C"/>
    <w:rsid w:val="0082486E"/>
    <w:rsid w:val="00844A8B"/>
    <w:rsid w:val="00847706"/>
    <w:rsid w:val="00857987"/>
    <w:rsid w:val="00862146"/>
    <w:rsid w:val="00862483"/>
    <w:rsid w:val="00874518"/>
    <w:rsid w:val="00884A95"/>
    <w:rsid w:val="0088598D"/>
    <w:rsid w:val="008921A4"/>
    <w:rsid w:val="00893E43"/>
    <w:rsid w:val="00895B3E"/>
    <w:rsid w:val="008A5B8F"/>
    <w:rsid w:val="008A7E94"/>
    <w:rsid w:val="008B0EB0"/>
    <w:rsid w:val="008B4CC1"/>
    <w:rsid w:val="008E0676"/>
    <w:rsid w:val="008E1700"/>
    <w:rsid w:val="008E3361"/>
    <w:rsid w:val="008E5E01"/>
    <w:rsid w:val="008E5F0D"/>
    <w:rsid w:val="008F07D0"/>
    <w:rsid w:val="008F2444"/>
    <w:rsid w:val="008F2665"/>
    <w:rsid w:val="008F3075"/>
    <w:rsid w:val="00910B4E"/>
    <w:rsid w:val="0092592E"/>
    <w:rsid w:val="00932C8D"/>
    <w:rsid w:val="0093483A"/>
    <w:rsid w:val="00934A35"/>
    <w:rsid w:val="00941310"/>
    <w:rsid w:val="00942633"/>
    <w:rsid w:val="009446C4"/>
    <w:rsid w:val="00944983"/>
    <w:rsid w:val="00946BA9"/>
    <w:rsid w:val="00950A51"/>
    <w:rsid w:val="00950F5B"/>
    <w:rsid w:val="009541D9"/>
    <w:rsid w:val="0095509D"/>
    <w:rsid w:val="00956E0D"/>
    <w:rsid w:val="0095733B"/>
    <w:rsid w:val="00961DB7"/>
    <w:rsid w:val="009920BE"/>
    <w:rsid w:val="00994C63"/>
    <w:rsid w:val="009975FC"/>
    <w:rsid w:val="009A2CF2"/>
    <w:rsid w:val="009C076C"/>
    <w:rsid w:val="009C23FF"/>
    <w:rsid w:val="009E27A5"/>
    <w:rsid w:val="009E317F"/>
    <w:rsid w:val="009F06D9"/>
    <w:rsid w:val="009F7177"/>
    <w:rsid w:val="00A010F2"/>
    <w:rsid w:val="00A03D2E"/>
    <w:rsid w:val="00A177C3"/>
    <w:rsid w:val="00A25462"/>
    <w:rsid w:val="00A3080B"/>
    <w:rsid w:val="00A31F34"/>
    <w:rsid w:val="00A36994"/>
    <w:rsid w:val="00A42C3F"/>
    <w:rsid w:val="00A43902"/>
    <w:rsid w:val="00A4539F"/>
    <w:rsid w:val="00A52A43"/>
    <w:rsid w:val="00A53707"/>
    <w:rsid w:val="00A53C52"/>
    <w:rsid w:val="00A55791"/>
    <w:rsid w:val="00A57A1B"/>
    <w:rsid w:val="00A62D6F"/>
    <w:rsid w:val="00A645F2"/>
    <w:rsid w:val="00A6757D"/>
    <w:rsid w:val="00A75971"/>
    <w:rsid w:val="00A75E4E"/>
    <w:rsid w:val="00A81C7A"/>
    <w:rsid w:val="00A87DEE"/>
    <w:rsid w:val="00A911C9"/>
    <w:rsid w:val="00A917C0"/>
    <w:rsid w:val="00A9230B"/>
    <w:rsid w:val="00A946F8"/>
    <w:rsid w:val="00A961A3"/>
    <w:rsid w:val="00AA06CB"/>
    <w:rsid w:val="00AA3CD8"/>
    <w:rsid w:val="00AA52A7"/>
    <w:rsid w:val="00AB1D4D"/>
    <w:rsid w:val="00AB32D6"/>
    <w:rsid w:val="00AB3973"/>
    <w:rsid w:val="00AC2340"/>
    <w:rsid w:val="00AD1A46"/>
    <w:rsid w:val="00AD2212"/>
    <w:rsid w:val="00AD3A26"/>
    <w:rsid w:val="00AE1CE7"/>
    <w:rsid w:val="00AE39EE"/>
    <w:rsid w:val="00AE4BE0"/>
    <w:rsid w:val="00AE58FE"/>
    <w:rsid w:val="00AE6C15"/>
    <w:rsid w:val="00AF2404"/>
    <w:rsid w:val="00B02578"/>
    <w:rsid w:val="00B06B98"/>
    <w:rsid w:val="00B1104F"/>
    <w:rsid w:val="00B35002"/>
    <w:rsid w:val="00B37A58"/>
    <w:rsid w:val="00B441D5"/>
    <w:rsid w:val="00B44266"/>
    <w:rsid w:val="00B4500E"/>
    <w:rsid w:val="00B50052"/>
    <w:rsid w:val="00B514CA"/>
    <w:rsid w:val="00B569F7"/>
    <w:rsid w:val="00B6434A"/>
    <w:rsid w:val="00B70CC1"/>
    <w:rsid w:val="00B757D8"/>
    <w:rsid w:val="00B75AA1"/>
    <w:rsid w:val="00B769F6"/>
    <w:rsid w:val="00B83537"/>
    <w:rsid w:val="00B839F4"/>
    <w:rsid w:val="00B84773"/>
    <w:rsid w:val="00B85E8D"/>
    <w:rsid w:val="00B9421F"/>
    <w:rsid w:val="00BA3609"/>
    <w:rsid w:val="00BB0B80"/>
    <w:rsid w:val="00BB24E1"/>
    <w:rsid w:val="00BB4EBE"/>
    <w:rsid w:val="00BC1FD0"/>
    <w:rsid w:val="00BD0C18"/>
    <w:rsid w:val="00BD383A"/>
    <w:rsid w:val="00BE15CE"/>
    <w:rsid w:val="00BF5478"/>
    <w:rsid w:val="00C01747"/>
    <w:rsid w:val="00C01FF0"/>
    <w:rsid w:val="00C04A45"/>
    <w:rsid w:val="00C237BA"/>
    <w:rsid w:val="00C367C3"/>
    <w:rsid w:val="00C37750"/>
    <w:rsid w:val="00C465A4"/>
    <w:rsid w:val="00C5254F"/>
    <w:rsid w:val="00C5657A"/>
    <w:rsid w:val="00C56940"/>
    <w:rsid w:val="00C627C4"/>
    <w:rsid w:val="00C71275"/>
    <w:rsid w:val="00C7428A"/>
    <w:rsid w:val="00C76930"/>
    <w:rsid w:val="00C808B9"/>
    <w:rsid w:val="00C908D3"/>
    <w:rsid w:val="00C936FD"/>
    <w:rsid w:val="00C955AF"/>
    <w:rsid w:val="00C95D87"/>
    <w:rsid w:val="00CA24B4"/>
    <w:rsid w:val="00CA7ADD"/>
    <w:rsid w:val="00CB1171"/>
    <w:rsid w:val="00CC3B7A"/>
    <w:rsid w:val="00CC6A64"/>
    <w:rsid w:val="00CD0720"/>
    <w:rsid w:val="00CE062D"/>
    <w:rsid w:val="00CE1E60"/>
    <w:rsid w:val="00CE3F31"/>
    <w:rsid w:val="00CF5E42"/>
    <w:rsid w:val="00CF7A7D"/>
    <w:rsid w:val="00D05A53"/>
    <w:rsid w:val="00D07331"/>
    <w:rsid w:val="00D11CE7"/>
    <w:rsid w:val="00D14B08"/>
    <w:rsid w:val="00D35599"/>
    <w:rsid w:val="00D462AA"/>
    <w:rsid w:val="00D47FBB"/>
    <w:rsid w:val="00D524C6"/>
    <w:rsid w:val="00D52C45"/>
    <w:rsid w:val="00D535C5"/>
    <w:rsid w:val="00D57F1D"/>
    <w:rsid w:val="00D61ACA"/>
    <w:rsid w:val="00D63B08"/>
    <w:rsid w:val="00D67FFD"/>
    <w:rsid w:val="00D730AB"/>
    <w:rsid w:val="00D815F5"/>
    <w:rsid w:val="00D90388"/>
    <w:rsid w:val="00D922B2"/>
    <w:rsid w:val="00D92BA6"/>
    <w:rsid w:val="00D94B9B"/>
    <w:rsid w:val="00DA2F2D"/>
    <w:rsid w:val="00DA64B0"/>
    <w:rsid w:val="00DB022A"/>
    <w:rsid w:val="00DB3DDA"/>
    <w:rsid w:val="00DB5B27"/>
    <w:rsid w:val="00DB6570"/>
    <w:rsid w:val="00DB66BD"/>
    <w:rsid w:val="00DB7B94"/>
    <w:rsid w:val="00DC29FF"/>
    <w:rsid w:val="00DC3094"/>
    <w:rsid w:val="00DC46E4"/>
    <w:rsid w:val="00DC5E94"/>
    <w:rsid w:val="00DE4778"/>
    <w:rsid w:val="00DE6160"/>
    <w:rsid w:val="00DE769B"/>
    <w:rsid w:val="00E017EE"/>
    <w:rsid w:val="00E04894"/>
    <w:rsid w:val="00E06B30"/>
    <w:rsid w:val="00E14A09"/>
    <w:rsid w:val="00E351BF"/>
    <w:rsid w:val="00E42C4F"/>
    <w:rsid w:val="00E4330C"/>
    <w:rsid w:val="00E43F78"/>
    <w:rsid w:val="00E470E0"/>
    <w:rsid w:val="00E52C0E"/>
    <w:rsid w:val="00E6412D"/>
    <w:rsid w:val="00E6481C"/>
    <w:rsid w:val="00E6588E"/>
    <w:rsid w:val="00E65DFE"/>
    <w:rsid w:val="00E661F9"/>
    <w:rsid w:val="00E71428"/>
    <w:rsid w:val="00E7494E"/>
    <w:rsid w:val="00E85BEE"/>
    <w:rsid w:val="00EA565D"/>
    <w:rsid w:val="00EC21D1"/>
    <w:rsid w:val="00ED1364"/>
    <w:rsid w:val="00EE1E8E"/>
    <w:rsid w:val="00EE3E2F"/>
    <w:rsid w:val="00EE451A"/>
    <w:rsid w:val="00F02239"/>
    <w:rsid w:val="00F04C23"/>
    <w:rsid w:val="00F06009"/>
    <w:rsid w:val="00F07344"/>
    <w:rsid w:val="00F07F3F"/>
    <w:rsid w:val="00F10343"/>
    <w:rsid w:val="00F133B4"/>
    <w:rsid w:val="00F179B8"/>
    <w:rsid w:val="00F17A3A"/>
    <w:rsid w:val="00F201A2"/>
    <w:rsid w:val="00F20D83"/>
    <w:rsid w:val="00F2448E"/>
    <w:rsid w:val="00F25F3B"/>
    <w:rsid w:val="00F32431"/>
    <w:rsid w:val="00F36B38"/>
    <w:rsid w:val="00F43E2B"/>
    <w:rsid w:val="00F44E6A"/>
    <w:rsid w:val="00F475C5"/>
    <w:rsid w:val="00F476AD"/>
    <w:rsid w:val="00F55129"/>
    <w:rsid w:val="00F60940"/>
    <w:rsid w:val="00F60D98"/>
    <w:rsid w:val="00F622BD"/>
    <w:rsid w:val="00F62473"/>
    <w:rsid w:val="00F62F69"/>
    <w:rsid w:val="00F727B6"/>
    <w:rsid w:val="00F76F67"/>
    <w:rsid w:val="00F7723E"/>
    <w:rsid w:val="00F933C4"/>
    <w:rsid w:val="00FA41B5"/>
    <w:rsid w:val="00FB0D2B"/>
    <w:rsid w:val="00FC6B5A"/>
    <w:rsid w:val="00FC7015"/>
    <w:rsid w:val="00FC74DB"/>
    <w:rsid w:val="00FD47AA"/>
    <w:rsid w:val="00FD4E34"/>
    <w:rsid w:val="00FD77E9"/>
    <w:rsid w:val="00FE1862"/>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justified">
    <w:name w:val="justified"/>
    <w:basedOn w:val="Normal"/>
    <w:rsid w:val="007045AC"/>
    <w:pPr>
      <w:spacing w:before="100" w:beforeAutospacing="1" w:after="100" w:afterAutospacing="1" w:line="240" w:lineRule="auto"/>
    </w:pPr>
    <w:rPr>
      <w:rFonts w:eastAsia="Times New Roman"/>
      <w:sz w:val="24"/>
      <w:szCs w:val="24"/>
    </w:rPr>
  </w:style>
  <w:style w:type="paragraph" w:customStyle="1" w:styleId="body">
    <w:name w:val="body"/>
    <w:basedOn w:val="Normal"/>
    <w:rsid w:val="007045AC"/>
    <w:pPr>
      <w:spacing w:before="100" w:beforeAutospacing="1" w:after="100" w:afterAutospacing="1" w:line="240" w:lineRule="auto"/>
    </w:pPr>
    <w:rPr>
      <w:rFonts w:eastAsia="Times New Roman"/>
      <w:sz w:val="24"/>
      <w:szCs w:val="24"/>
    </w:rPr>
  </w:style>
  <w:style w:type="character" w:customStyle="1" w:styleId="EvidenceChar">
    <w:name w:val="Evidence Char"/>
    <w:basedOn w:val="DefaultParagraphFont"/>
    <w:link w:val="Evidence"/>
    <w:locked/>
    <w:rsid w:val="002167E6"/>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2167E6"/>
    <w:rPr>
      <w:rFonts w:ascii="Times New Roman" w:eastAsia="Times New Roman" w:hAnsi="Times New Roman"/>
      <w:b/>
      <w:bCs/>
      <w:color w:val="000000"/>
      <w:lang w:eastAsia="fr-FR"/>
    </w:rPr>
  </w:style>
  <w:style w:type="character" w:customStyle="1" w:styleId="field">
    <w:name w:val="field"/>
    <w:basedOn w:val="DefaultParagraphFont"/>
    <w:rsid w:val="0015137D"/>
  </w:style>
  <w:style w:type="character" w:customStyle="1" w:styleId="main-title--span">
    <w:name w:val="main-title--span"/>
    <w:basedOn w:val="DefaultParagraphFont"/>
    <w:rsid w:val="00045819"/>
  </w:style>
  <w:style w:type="character" w:customStyle="1" w:styleId="comp">
    <w:name w:val="comp"/>
    <w:basedOn w:val="DefaultParagraphFont"/>
    <w:rsid w:val="00CC6A64"/>
  </w:style>
  <w:style w:type="paragraph" w:customStyle="1" w:styleId="p6">
    <w:name w:val="p6"/>
    <w:basedOn w:val="Normal"/>
    <w:rsid w:val="002805D4"/>
    <w:pPr>
      <w:spacing w:before="100" w:beforeAutospacing="1" w:after="100" w:afterAutospacing="1" w:line="240" w:lineRule="auto"/>
    </w:pPr>
    <w:rPr>
      <w:rFonts w:eastAsia="Times New Roman"/>
      <w:sz w:val="24"/>
      <w:szCs w:val="24"/>
    </w:rPr>
  </w:style>
  <w:style w:type="paragraph" w:customStyle="1" w:styleId="p1">
    <w:name w:val="p1"/>
    <w:basedOn w:val="Normal"/>
    <w:rsid w:val="00B35002"/>
    <w:pPr>
      <w:spacing w:before="100" w:beforeAutospacing="1" w:after="100" w:afterAutospacing="1" w:line="240" w:lineRule="auto"/>
    </w:pPr>
    <w:rPr>
      <w:rFonts w:eastAsia="Times New Roman"/>
      <w:sz w:val="24"/>
      <w:szCs w:val="24"/>
    </w:rPr>
  </w:style>
  <w:style w:type="character" w:customStyle="1" w:styleId="apple-style-span">
    <w:name w:val="apple-style-span"/>
    <w:basedOn w:val="DefaultParagraphFont"/>
    <w:rsid w:val="00AE6C15"/>
  </w:style>
  <w:style w:type="paragraph" w:customStyle="1" w:styleId="font--body">
    <w:name w:val="font--body"/>
    <w:basedOn w:val="Normal"/>
    <w:rsid w:val="006714DF"/>
    <w:pPr>
      <w:spacing w:before="100" w:beforeAutospacing="1" w:after="100" w:afterAutospacing="1" w:line="240" w:lineRule="auto"/>
    </w:pPr>
    <w:rPr>
      <w:rFonts w:eastAsia="Times New Roman"/>
      <w:sz w:val="24"/>
      <w:szCs w:val="24"/>
    </w:rPr>
  </w:style>
  <w:style w:type="character" w:customStyle="1" w:styleId="endnotereference">
    <w:name w:val="endnotereference"/>
    <w:basedOn w:val="DefaultParagraphFont"/>
    <w:rsid w:val="00BB2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3033369">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4825140">
      <w:bodyDiv w:val="1"/>
      <w:marLeft w:val="0"/>
      <w:marRight w:val="0"/>
      <w:marTop w:val="0"/>
      <w:marBottom w:val="0"/>
      <w:divBdr>
        <w:top w:val="none" w:sz="0" w:space="0" w:color="auto"/>
        <w:left w:val="none" w:sz="0" w:space="0" w:color="auto"/>
        <w:bottom w:val="none" w:sz="0" w:space="0" w:color="auto"/>
        <w:right w:val="none" w:sz="0" w:space="0" w:color="auto"/>
      </w:divBdr>
      <w:divsChild>
        <w:div w:id="753208559">
          <w:marLeft w:val="0"/>
          <w:marRight w:val="0"/>
          <w:marTop w:val="0"/>
          <w:marBottom w:val="0"/>
          <w:divBdr>
            <w:top w:val="none" w:sz="0" w:space="0" w:color="auto"/>
            <w:left w:val="none" w:sz="0" w:space="0" w:color="auto"/>
            <w:bottom w:val="none" w:sz="0" w:space="0" w:color="auto"/>
            <w:right w:val="none" w:sz="0" w:space="0" w:color="auto"/>
          </w:divBdr>
        </w:div>
      </w:divsChild>
    </w:div>
    <w:div w:id="267473547">
      <w:bodyDiv w:val="1"/>
      <w:marLeft w:val="0"/>
      <w:marRight w:val="0"/>
      <w:marTop w:val="0"/>
      <w:marBottom w:val="0"/>
      <w:divBdr>
        <w:top w:val="none" w:sz="0" w:space="0" w:color="auto"/>
        <w:left w:val="none" w:sz="0" w:space="0" w:color="auto"/>
        <w:bottom w:val="none" w:sz="0" w:space="0" w:color="auto"/>
        <w:right w:val="none" w:sz="0" w:space="0" w:color="auto"/>
      </w:divBdr>
    </w:div>
    <w:div w:id="270941496">
      <w:bodyDiv w:val="1"/>
      <w:marLeft w:val="0"/>
      <w:marRight w:val="0"/>
      <w:marTop w:val="0"/>
      <w:marBottom w:val="0"/>
      <w:divBdr>
        <w:top w:val="none" w:sz="0" w:space="0" w:color="auto"/>
        <w:left w:val="none" w:sz="0" w:space="0" w:color="auto"/>
        <w:bottom w:val="none" w:sz="0" w:space="0" w:color="auto"/>
        <w:right w:val="none" w:sz="0" w:space="0" w:color="auto"/>
      </w:divBdr>
    </w:div>
    <w:div w:id="287202637">
      <w:bodyDiv w:val="1"/>
      <w:marLeft w:val="0"/>
      <w:marRight w:val="0"/>
      <w:marTop w:val="0"/>
      <w:marBottom w:val="0"/>
      <w:divBdr>
        <w:top w:val="none" w:sz="0" w:space="0" w:color="auto"/>
        <w:left w:val="none" w:sz="0" w:space="0" w:color="auto"/>
        <w:bottom w:val="none" w:sz="0" w:space="0" w:color="auto"/>
        <w:right w:val="none" w:sz="0" w:space="0" w:color="auto"/>
      </w:divBdr>
    </w:div>
    <w:div w:id="29248978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796">
      <w:bodyDiv w:val="1"/>
      <w:marLeft w:val="0"/>
      <w:marRight w:val="0"/>
      <w:marTop w:val="0"/>
      <w:marBottom w:val="0"/>
      <w:divBdr>
        <w:top w:val="none" w:sz="0" w:space="0" w:color="auto"/>
        <w:left w:val="none" w:sz="0" w:space="0" w:color="auto"/>
        <w:bottom w:val="none" w:sz="0" w:space="0" w:color="auto"/>
        <w:right w:val="none" w:sz="0" w:space="0" w:color="auto"/>
      </w:divBdr>
    </w:div>
    <w:div w:id="320233291">
      <w:bodyDiv w:val="1"/>
      <w:marLeft w:val="0"/>
      <w:marRight w:val="0"/>
      <w:marTop w:val="0"/>
      <w:marBottom w:val="0"/>
      <w:divBdr>
        <w:top w:val="none" w:sz="0" w:space="0" w:color="auto"/>
        <w:left w:val="none" w:sz="0" w:space="0" w:color="auto"/>
        <w:bottom w:val="none" w:sz="0" w:space="0" w:color="auto"/>
        <w:right w:val="none" w:sz="0" w:space="0" w:color="auto"/>
      </w:divBdr>
    </w:div>
    <w:div w:id="3273714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76197">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506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504415">
      <w:bodyDiv w:val="1"/>
      <w:marLeft w:val="0"/>
      <w:marRight w:val="0"/>
      <w:marTop w:val="0"/>
      <w:marBottom w:val="0"/>
      <w:divBdr>
        <w:top w:val="none" w:sz="0" w:space="0" w:color="auto"/>
        <w:left w:val="none" w:sz="0" w:space="0" w:color="auto"/>
        <w:bottom w:val="none" w:sz="0" w:space="0" w:color="auto"/>
        <w:right w:val="none" w:sz="0" w:space="0" w:color="auto"/>
      </w:divBdr>
    </w:div>
    <w:div w:id="454257883">
      <w:bodyDiv w:val="1"/>
      <w:marLeft w:val="0"/>
      <w:marRight w:val="0"/>
      <w:marTop w:val="0"/>
      <w:marBottom w:val="0"/>
      <w:divBdr>
        <w:top w:val="none" w:sz="0" w:space="0" w:color="auto"/>
        <w:left w:val="none" w:sz="0" w:space="0" w:color="auto"/>
        <w:bottom w:val="none" w:sz="0" w:space="0" w:color="auto"/>
        <w:right w:val="none" w:sz="0" w:space="0" w:color="auto"/>
      </w:divBdr>
    </w:div>
    <w:div w:id="455567882">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44865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0583166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04962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5622265">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432844">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1135235">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8526553">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22607927">
      <w:bodyDiv w:val="1"/>
      <w:marLeft w:val="0"/>
      <w:marRight w:val="0"/>
      <w:marTop w:val="0"/>
      <w:marBottom w:val="0"/>
      <w:divBdr>
        <w:top w:val="none" w:sz="0" w:space="0" w:color="auto"/>
        <w:left w:val="none" w:sz="0" w:space="0" w:color="auto"/>
        <w:bottom w:val="none" w:sz="0" w:space="0" w:color="auto"/>
        <w:right w:val="none" w:sz="0" w:space="0" w:color="auto"/>
      </w:divBdr>
      <w:divsChild>
        <w:div w:id="218176849">
          <w:marLeft w:val="0"/>
          <w:marRight w:val="0"/>
          <w:marTop w:val="270"/>
          <w:marBottom w:val="270"/>
          <w:divBdr>
            <w:top w:val="none" w:sz="0" w:space="0" w:color="auto"/>
            <w:left w:val="none" w:sz="0" w:space="0" w:color="auto"/>
            <w:bottom w:val="none" w:sz="0" w:space="0" w:color="auto"/>
            <w:right w:val="none" w:sz="0" w:space="0" w:color="auto"/>
          </w:divBdr>
          <w:divsChild>
            <w:div w:id="5236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52729">
      <w:bodyDiv w:val="1"/>
      <w:marLeft w:val="0"/>
      <w:marRight w:val="0"/>
      <w:marTop w:val="0"/>
      <w:marBottom w:val="0"/>
      <w:divBdr>
        <w:top w:val="none" w:sz="0" w:space="0" w:color="auto"/>
        <w:left w:val="none" w:sz="0" w:space="0" w:color="auto"/>
        <w:bottom w:val="none" w:sz="0" w:space="0" w:color="auto"/>
        <w:right w:val="none" w:sz="0" w:space="0" w:color="auto"/>
      </w:divBdr>
    </w:div>
    <w:div w:id="732778197">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4643499">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1341030">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0177168">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3323112">
      <w:bodyDiv w:val="1"/>
      <w:marLeft w:val="0"/>
      <w:marRight w:val="0"/>
      <w:marTop w:val="0"/>
      <w:marBottom w:val="0"/>
      <w:divBdr>
        <w:top w:val="none" w:sz="0" w:space="0" w:color="auto"/>
        <w:left w:val="none" w:sz="0" w:space="0" w:color="auto"/>
        <w:bottom w:val="none" w:sz="0" w:space="0" w:color="auto"/>
        <w:right w:val="none" w:sz="0" w:space="0" w:color="auto"/>
      </w:divBdr>
    </w:div>
    <w:div w:id="860780645">
      <w:bodyDiv w:val="1"/>
      <w:marLeft w:val="0"/>
      <w:marRight w:val="0"/>
      <w:marTop w:val="0"/>
      <w:marBottom w:val="0"/>
      <w:divBdr>
        <w:top w:val="none" w:sz="0" w:space="0" w:color="auto"/>
        <w:left w:val="none" w:sz="0" w:space="0" w:color="auto"/>
        <w:bottom w:val="none" w:sz="0" w:space="0" w:color="auto"/>
        <w:right w:val="none" w:sz="0" w:space="0" w:color="auto"/>
      </w:divBdr>
    </w:div>
    <w:div w:id="8753111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61573048">
      <w:bodyDiv w:val="1"/>
      <w:marLeft w:val="0"/>
      <w:marRight w:val="0"/>
      <w:marTop w:val="0"/>
      <w:marBottom w:val="0"/>
      <w:divBdr>
        <w:top w:val="none" w:sz="0" w:space="0" w:color="auto"/>
        <w:left w:val="none" w:sz="0" w:space="0" w:color="auto"/>
        <w:bottom w:val="none" w:sz="0" w:space="0" w:color="auto"/>
        <w:right w:val="none" w:sz="0" w:space="0" w:color="auto"/>
      </w:divBdr>
      <w:divsChild>
        <w:div w:id="1428889866">
          <w:marLeft w:val="0"/>
          <w:marRight w:val="0"/>
          <w:marTop w:val="0"/>
          <w:marBottom w:val="0"/>
          <w:divBdr>
            <w:top w:val="none" w:sz="0" w:space="0" w:color="auto"/>
            <w:left w:val="none" w:sz="0" w:space="0" w:color="auto"/>
            <w:bottom w:val="none" w:sz="0" w:space="0" w:color="auto"/>
            <w:right w:val="none" w:sz="0" w:space="0" w:color="auto"/>
          </w:divBdr>
        </w:div>
        <w:div w:id="311957390">
          <w:marLeft w:val="0"/>
          <w:marRight w:val="0"/>
          <w:marTop w:val="0"/>
          <w:marBottom w:val="0"/>
          <w:divBdr>
            <w:top w:val="none" w:sz="0" w:space="0" w:color="auto"/>
            <w:left w:val="none" w:sz="0" w:space="0" w:color="auto"/>
            <w:bottom w:val="none" w:sz="0" w:space="0" w:color="auto"/>
            <w:right w:val="none" w:sz="0" w:space="0" w:color="auto"/>
          </w:divBdr>
        </w:div>
      </w:divsChild>
    </w:div>
    <w:div w:id="964698780">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1509058">
      <w:bodyDiv w:val="1"/>
      <w:marLeft w:val="0"/>
      <w:marRight w:val="0"/>
      <w:marTop w:val="0"/>
      <w:marBottom w:val="0"/>
      <w:divBdr>
        <w:top w:val="none" w:sz="0" w:space="0" w:color="auto"/>
        <w:left w:val="none" w:sz="0" w:space="0" w:color="auto"/>
        <w:bottom w:val="none" w:sz="0" w:space="0" w:color="auto"/>
        <w:right w:val="none" w:sz="0" w:space="0" w:color="auto"/>
      </w:divBdr>
      <w:divsChild>
        <w:div w:id="748313513">
          <w:marLeft w:val="0"/>
          <w:marRight w:val="0"/>
          <w:marTop w:val="0"/>
          <w:marBottom w:val="0"/>
          <w:divBdr>
            <w:top w:val="none" w:sz="0" w:space="0" w:color="auto"/>
            <w:left w:val="none" w:sz="0" w:space="0" w:color="auto"/>
            <w:bottom w:val="none" w:sz="0" w:space="0" w:color="auto"/>
            <w:right w:val="none" w:sz="0" w:space="0" w:color="auto"/>
          </w:divBdr>
        </w:div>
        <w:div w:id="2144544455">
          <w:marLeft w:val="0"/>
          <w:marRight w:val="0"/>
          <w:marTop w:val="0"/>
          <w:marBottom w:val="0"/>
          <w:divBdr>
            <w:top w:val="none" w:sz="0" w:space="0" w:color="auto"/>
            <w:left w:val="none" w:sz="0" w:space="0" w:color="auto"/>
            <w:bottom w:val="none" w:sz="0" w:space="0" w:color="auto"/>
            <w:right w:val="none" w:sz="0" w:space="0" w:color="auto"/>
          </w:divBdr>
        </w:div>
      </w:divsChild>
    </w:div>
    <w:div w:id="1093091833">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08812615">
      <w:bodyDiv w:val="1"/>
      <w:marLeft w:val="0"/>
      <w:marRight w:val="0"/>
      <w:marTop w:val="0"/>
      <w:marBottom w:val="0"/>
      <w:divBdr>
        <w:top w:val="none" w:sz="0" w:space="0" w:color="auto"/>
        <w:left w:val="none" w:sz="0" w:space="0" w:color="auto"/>
        <w:bottom w:val="none" w:sz="0" w:space="0" w:color="auto"/>
        <w:right w:val="none" w:sz="0" w:space="0" w:color="auto"/>
      </w:divBdr>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9369200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8586249">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14791550">
      <w:bodyDiv w:val="1"/>
      <w:marLeft w:val="0"/>
      <w:marRight w:val="0"/>
      <w:marTop w:val="0"/>
      <w:marBottom w:val="0"/>
      <w:divBdr>
        <w:top w:val="none" w:sz="0" w:space="0" w:color="auto"/>
        <w:left w:val="none" w:sz="0" w:space="0" w:color="auto"/>
        <w:bottom w:val="none" w:sz="0" w:space="0" w:color="auto"/>
        <w:right w:val="none" w:sz="0" w:space="0" w:color="auto"/>
      </w:divBdr>
    </w:div>
    <w:div w:id="1316060098">
      <w:bodyDiv w:val="1"/>
      <w:marLeft w:val="0"/>
      <w:marRight w:val="0"/>
      <w:marTop w:val="0"/>
      <w:marBottom w:val="0"/>
      <w:divBdr>
        <w:top w:val="none" w:sz="0" w:space="0" w:color="auto"/>
        <w:left w:val="none" w:sz="0" w:space="0" w:color="auto"/>
        <w:bottom w:val="none" w:sz="0" w:space="0" w:color="auto"/>
        <w:right w:val="none" w:sz="0" w:space="0" w:color="auto"/>
      </w:divBdr>
    </w:div>
    <w:div w:id="1322855181">
      <w:bodyDiv w:val="1"/>
      <w:marLeft w:val="0"/>
      <w:marRight w:val="0"/>
      <w:marTop w:val="0"/>
      <w:marBottom w:val="0"/>
      <w:divBdr>
        <w:top w:val="none" w:sz="0" w:space="0" w:color="auto"/>
        <w:left w:val="none" w:sz="0" w:space="0" w:color="auto"/>
        <w:bottom w:val="none" w:sz="0" w:space="0" w:color="auto"/>
        <w:right w:val="none" w:sz="0" w:space="0" w:color="auto"/>
      </w:divBdr>
    </w:div>
    <w:div w:id="1323587510">
      <w:bodyDiv w:val="1"/>
      <w:marLeft w:val="0"/>
      <w:marRight w:val="0"/>
      <w:marTop w:val="0"/>
      <w:marBottom w:val="0"/>
      <w:divBdr>
        <w:top w:val="none" w:sz="0" w:space="0" w:color="auto"/>
        <w:left w:val="none" w:sz="0" w:space="0" w:color="auto"/>
        <w:bottom w:val="none" w:sz="0" w:space="0" w:color="auto"/>
        <w:right w:val="none" w:sz="0" w:space="0" w:color="auto"/>
      </w:divBdr>
      <w:divsChild>
        <w:div w:id="1202018391">
          <w:marLeft w:val="0"/>
          <w:marRight w:val="0"/>
          <w:marTop w:val="0"/>
          <w:marBottom w:val="0"/>
          <w:divBdr>
            <w:top w:val="none" w:sz="0" w:space="0" w:color="auto"/>
            <w:left w:val="none" w:sz="0" w:space="0" w:color="auto"/>
            <w:bottom w:val="none" w:sz="0" w:space="0" w:color="auto"/>
            <w:right w:val="none" w:sz="0" w:space="0" w:color="auto"/>
          </w:divBdr>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629963">
      <w:bodyDiv w:val="1"/>
      <w:marLeft w:val="0"/>
      <w:marRight w:val="0"/>
      <w:marTop w:val="0"/>
      <w:marBottom w:val="0"/>
      <w:divBdr>
        <w:top w:val="none" w:sz="0" w:space="0" w:color="auto"/>
        <w:left w:val="none" w:sz="0" w:space="0" w:color="auto"/>
        <w:bottom w:val="none" w:sz="0" w:space="0" w:color="auto"/>
        <w:right w:val="none" w:sz="0" w:space="0" w:color="auto"/>
      </w:divBdr>
    </w:div>
    <w:div w:id="1414358318">
      <w:bodyDiv w:val="1"/>
      <w:marLeft w:val="0"/>
      <w:marRight w:val="0"/>
      <w:marTop w:val="0"/>
      <w:marBottom w:val="0"/>
      <w:divBdr>
        <w:top w:val="none" w:sz="0" w:space="0" w:color="auto"/>
        <w:left w:val="none" w:sz="0" w:space="0" w:color="auto"/>
        <w:bottom w:val="none" w:sz="0" w:space="0" w:color="auto"/>
        <w:right w:val="none" w:sz="0" w:space="0" w:color="auto"/>
      </w:divBdr>
    </w:div>
    <w:div w:id="1432629407">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668505">
      <w:bodyDiv w:val="1"/>
      <w:marLeft w:val="0"/>
      <w:marRight w:val="0"/>
      <w:marTop w:val="0"/>
      <w:marBottom w:val="0"/>
      <w:divBdr>
        <w:top w:val="none" w:sz="0" w:space="0" w:color="auto"/>
        <w:left w:val="none" w:sz="0" w:space="0" w:color="auto"/>
        <w:bottom w:val="none" w:sz="0" w:space="0" w:color="auto"/>
        <w:right w:val="none" w:sz="0" w:space="0" w:color="auto"/>
      </w:divBdr>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27600">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84559349">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13825405">
      <w:bodyDiv w:val="1"/>
      <w:marLeft w:val="0"/>
      <w:marRight w:val="0"/>
      <w:marTop w:val="0"/>
      <w:marBottom w:val="0"/>
      <w:divBdr>
        <w:top w:val="none" w:sz="0" w:space="0" w:color="auto"/>
        <w:left w:val="none" w:sz="0" w:space="0" w:color="auto"/>
        <w:bottom w:val="none" w:sz="0" w:space="0" w:color="auto"/>
        <w:right w:val="none" w:sz="0" w:space="0" w:color="auto"/>
      </w:divBdr>
      <w:divsChild>
        <w:div w:id="2145923538">
          <w:marLeft w:val="0"/>
          <w:marRight w:val="0"/>
          <w:marTop w:val="0"/>
          <w:marBottom w:val="0"/>
          <w:divBdr>
            <w:top w:val="none" w:sz="0" w:space="0" w:color="auto"/>
            <w:left w:val="none" w:sz="0" w:space="0" w:color="auto"/>
            <w:bottom w:val="none" w:sz="0" w:space="0" w:color="auto"/>
            <w:right w:val="none" w:sz="0" w:space="0" w:color="auto"/>
          </w:divBdr>
          <w:divsChild>
            <w:div w:id="79587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3505398">
      <w:bodyDiv w:val="1"/>
      <w:marLeft w:val="0"/>
      <w:marRight w:val="0"/>
      <w:marTop w:val="0"/>
      <w:marBottom w:val="0"/>
      <w:divBdr>
        <w:top w:val="none" w:sz="0" w:space="0" w:color="auto"/>
        <w:left w:val="none" w:sz="0" w:space="0" w:color="auto"/>
        <w:bottom w:val="none" w:sz="0" w:space="0" w:color="auto"/>
        <w:right w:val="none" w:sz="0" w:space="0" w:color="auto"/>
      </w:divBdr>
      <w:divsChild>
        <w:div w:id="1652322159">
          <w:marLeft w:val="0"/>
          <w:marRight w:val="0"/>
          <w:marTop w:val="0"/>
          <w:marBottom w:val="0"/>
          <w:divBdr>
            <w:top w:val="none" w:sz="0" w:space="0" w:color="auto"/>
            <w:left w:val="none" w:sz="0" w:space="0" w:color="auto"/>
            <w:bottom w:val="none" w:sz="0" w:space="0" w:color="auto"/>
            <w:right w:val="none" w:sz="0" w:space="0" w:color="auto"/>
          </w:divBdr>
        </w:div>
        <w:div w:id="632908350">
          <w:marLeft w:val="0"/>
          <w:marRight w:val="0"/>
          <w:marTop w:val="0"/>
          <w:marBottom w:val="0"/>
          <w:divBdr>
            <w:top w:val="none" w:sz="0" w:space="0" w:color="auto"/>
            <w:left w:val="none" w:sz="0" w:space="0" w:color="auto"/>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6546263">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27992025">
      <w:bodyDiv w:val="1"/>
      <w:marLeft w:val="0"/>
      <w:marRight w:val="0"/>
      <w:marTop w:val="0"/>
      <w:marBottom w:val="0"/>
      <w:divBdr>
        <w:top w:val="none" w:sz="0" w:space="0" w:color="auto"/>
        <w:left w:val="none" w:sz="0" w:space="0" w:color="auto"/>
        <w:bottom w:val="none" w:sz="0" w:space="0" w:color="auto"/>
        <w:right w:val="none" w:sz="0" w:space="0" w:color="auto"/>
      </w:divBdr>
      <w:divsChild>
        <w:div w:id="2106414016">
          <w:marLeft w:val="0"/>
          <w:marRight w:val="0"/>
          <w:marTop w:val="0"/>
          <w:marBottom w:val="840"/>
          <w:divBdr>
            <w:top w:val="none" w:sz="0" w:space="0" w:color="auto"/>
            <w:left w:val="none" w:sz="0" w:space="0" w:color="auto"/>
            <w:bottom w:val="none" w:sz="0" w:space="0" w:color="auto"/>
            <w:right w:val="none" w:sz="0" w:space="0" w:color="auto"/>
          </w:divBdr>
          <w:divsChild>
            <w:div w:id="1789620642">
              <w:marLeft w:val="-165"/>
              <w:marRight w:val="-165"/>
              <w:marTop w:val="0"/>
              <w:marBottom w:val="0"/>
              <w:divBdr>
                <w:top w:val="none" w:sz="0" w:space="0" w:color="auto"/>
                <w:left w:val="none" w:sz="0" w:space="0" w:color="auto"/>
                <w:bottom w:val="none" w:sz="0" w:space="0" w:color="auto"/>
                <w:right w:val="none" w:sz="0" w:space="0" w:color="auto"/>
              </w:divBdr>
              <w:divsChild>
                <w:div w:id="91555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2399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076">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573550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6166244">
      <w:bodyDiv w:val="1"/>
      <w:marLeft w:val="0"/>
      <w:marRight w:val="0"/>
      <w:marTop w:val="0"/>
      <w:marBottom w:val="0"/>
      <w:divBdr>
        <w:top w:val="none" w:sz="0" w:space="0" w:color="auto"/>
        <w:left w:val="none" w:sz="0" w:space="0" w:color="auto"/>
        <w:bottom w:val="none" w:sz="0" w:space="0" w:color="auto"/>
        <w:right w:val="none" w:sz="0" w:space="0" w:color="auto"/>
      </w:divBdr>
    </w:div>
    <w:div w:id="1777556930">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02072937">
      <w:bodyDiv w:val="1"/>
      <w:marLeft w:val="0"/>
      <w:marRight w:val="0"/>
      <w:marTop w:val="0"/>
      <w:marBottom w:val="0"/>
      <w:divBdr>
        <w:top w:val="none" w:sz="0" w:space="0" w:color="auto"/>
        <w:left w:val="none" w:sz="0" w:space="0" w:color="auto"/>
        <w:bottom w:val="none" w:sz="0" w:space="0" w:color="auto"/>
        <w:right w:val="none" w:sz="0" w:space="0" w:color="auto"/>
      </w:divBdr>
    </w:div>
    <w:div w:id="1807234041">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7359962">
      <w:bodyDiv w:val="1"/>
      <w:marLeft w:val="0"/>
      <w:marRight w:val="0"/>
      <w:marTop w:val="0"/>
      <w:marBottom w:val="0"/>
      <w:divBdr>
        <w:top w:val="none" w:sz="0" w:space="0" w:color="auto"/>
        <w:left w:val="none" w:sz="0" w:space="0" w:color="auto"/>
        <w:bottom w:val="none" w:sz="0" w:space="0" w:color="auto"/>
        <w:right w:val="none" w:sz="0" w:space="0" w:color="auto"/>
      </w:divBdr>
    </w:div>
    <w:div w:id="1851944675">
      <w:bodyDiv w:val="1"/>
      <w:marLeft w:val="0"/>
      <w:marRight w:val="0"/>
      <w:marTop w:val="0"/>
      <w:marBottom w:val="0"/>
      <w:divBdr>
        <w:top w:val="none" w:sz="0" w:space="0" w:color="auto"/>
        <w:left w:val="none" w:sz="0" w:space="0" w:color="auto"/>
        <w:bottom w:val="none" w:sz="0" w:space="0" w:color="auto"/>
        <w:right w:val="none" w:sz="0" w:space="0" w:color="auto"/>
      </w:divBdr>
    </w:div>
    <w:div w:id="185692130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4973413">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62846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03275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420668">
      <w:bodyDiv w:val="1"/>
      <w:marLeft w:val="0"/>
      <w:marRight w:val="0"/>
      <w:marTop w:val="0"/>
      <w:marBottom w:val="0"/>
      <w:divBdr>
        <w:top w:val="none" w:sz="0" w:space="0" w:color="auto"/>
        <w:left w:val="none" w:sz="0" w:space="0" w:color="auto"/>
        <w:bottom w:val="none" w:sz="0" w:space="0" w:color="auto"/>
        <w:right w:val="none" w:sz="0" w:space="0" w:color="auto"/>
      </w:divBdr>
    </w:div>
    <w:div w:id="1972128448">
      <w:bodyDiv w:val="1"/>
      <w:marLeft w:val="0"/>
      <w:marRight w:val="0"/>
      <w:marTop w:val="0"/>
      <w:marBottom w:val="0"/>
      <w:divBdr>
        <w:top w:val="none" w:sz="0" w:space="0" w:color="auto"/>
        <w:left w:val="none" w:sz="0" w:space="0" w:color="auto"/>
        <w:bottom w:val="none" w:sz="0" w:space="0" w:color="auto"/>
        <w:right w:val="none" w:sz="0" w:space="0" w:color="auto"/>
      </w:divBdr>
      <w:divsChild>
        <w:div w:id="393698362">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78607533">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47119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232217">
      <w:bodyDiv w:val="1"/>
      <w:marLeft w:val="0"/>
      <w:marRight w:val="0"/>
      <w:marTop w:val="0"/>
      <w:marBottom w:val="0"/>
      <w:divBdr>
        <w:top w:val="none" w:sz="0" w:space="0" w:color="auto"/>
        <w:left w:val="none" w:sz="0" w:space="0" w:color="auto"/>
        <w:bottom w:val="none" w:sz="0" w:space="0" w:color="auto"/>
        <w:right w:val="none" w:sz="0" w:space="0" w:color="auto"/>
      </w:divBdr>
    </w:div>
    <w:div w:id="2008285355">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66131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328397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04105477">
      <w:bodyDiv w:val="1"/>
      <w:marLeft w:val="0"/>
      <w:marRight w:val="0"/>
      <w:marTop w:val="0"/>
      <w:marBottom w:val="0"/>
      <w:divBdr>
        <w:top w:val="none" w:sz="0" w:space="0" w:color="auto"/>
        <w:left w:val="none" w:sz="0" w:space="0" w:color="auto"/>
        <w:bottom w:val="none" w:sz="0" w:space="0" w:color="auto"/>
        <w:right w:val="none" w:sz="0" w:space="0" w:color="auto"/>
      </w:divBdr>
    </w:div>
    <w:div w:id="21229932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38644782">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gress.gov/bill/116th-congress/senate-bill/1602?q=%7B%22search%22%3A%5B%22s.1602%22%5D%7D&amp;s=1&amp;r=1" TargetMode="External"/><Relationship Id="rId13" Type="http://schemas.openxmlformats.org/officeDocument/2006/relationships/hyperlink" Target="https://www.ucsusa.org/sites/default/files/attach/2018/07/federal-energy-storage-convening-summary.pdf" TargetMode="External"/><Relationship Id="rId18" Type="http://schemas.openxmlformats.org/officeDocument/2006/relationships/hyperlink" Target="https://ingenuity.siemens.com/2018/07/energy-storage-an-impossible-task-for-renewable-source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cato.org/publications/commentary/slash-federal-spending-gao-details-waste-inefficiency-duplication-again" TargetMode="External"/><Relationship Id="rId7" Type="http://schemas.openxmlformats.org/officeDocument/2006/relationships/hyperlink" Target="https://www.acc.eco/blog/2019/9/16/lets-talk-legislation-the-best-act-addresses-energy-storage" TargetMode="External"/><Relationship Id="rId12" Type="http://schemas.openxmlformats.org/officeDocument/2006/relationships/hyperlink" Target="https://itif.org/publications/2019/03/27/energy-storage-rdd-fiscal-year-2020-budget-proposal" TargetMode="External"/><Relationship Id="rId17" Type="http://schemas.openxmlformats.org/officeDocument/2006/relationships/hyperlink" Target="https://www.ucsusa.org/sites/default/files/attach/2018/07/federal-energy-storage-convening-summary.pd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ucsusa.org/sites/default/files/attach/2018/07/federal-energy-storage-convening-summary.pdf" TargetMode="External"/><Relationship Id="rId20" Type="http://schemas.openxmlformats.org/officeDocument/2006/relationships/hyperlink" Target="https://www.mercatus.org/publications/government-spending/subsidies-are-problem-not-solution-innovation-energ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ndia.gov/ess-ssl/docs/other/FINAL_DOE_Report-Storage_Activities_5-1-11.pdf"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ucsusa.org/sites/default/files/attach/2018/07/federal-energy-storage-convening-summary.pdf" TargetMode="External"/><Relationship Id="rId23" Type="http://schemas.openxmlformats.org/officeDocument/2006/relationships/header" Target="header1.xml"/><Relationship Id="rId10" Type="http://schemas.openxmlformats.org/officeDocument/2006/relationships/hyperlink" Target="https://www.collins.senate.gov/newsroom/senators-collins-heinrich-lead-bipartisan-group-introducing-energy-storage-bill-bolster" TargetMode="External"/><Relationship Id="rId19" Type="http://schemas.openxmlformats.org/officeDocument/2006/relationships/hyperlink" Target="https://new.siemens.com/ingenuity/en/blog.entry.html/2018/04/20/how_lithium_ion_batt-cA8e.html" TargetMode="External"/><Relationship Id="rId4" Type="http://schemas.openxmlformats.org/officeDocument/2006/relationships/webSettings" Target="webSettings.xml"/><Relationship Id="rId9" Type="http://schemas.openxmlformats.org/officeDocument/2006/relationships/hyperlink" Target="https://www.congress.gov/bill/116th-congress/house-bill/2986?q=%7B%22search%22%3A%5B%22s.2986%22%5D%7D&amp;s=2&amp;r=1" TargetMode="External"/><Relationship Id="rId14" Type="http://schemas.openxmlformats.org/officeDocument/2006/relationships/hyperlink" Target="https://www.ucsusa.org/sites/default/files/attach/2018/07/federal-energy-storage-convening-summary.pdf" TargetMode="External"/><Relationship Id="rId22" Type="http://schemas.openxmlformats.org/officeDocument/2006/relationships/hyperlink" Target="https://www.mercatus.org/publications/government-spending/subsidies-are-problem-not-solution-innovation-ener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3793</TotalTime>
  <Pages>11</Pages>
  <Words>4790</Words>
  <Characters>27305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32031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87</cp:revision>
  <cp:lastPrinted>2014-07-05T10:25:00Z</cp:lastPrinted>
  <dcterms:created xsi:type="dcterms:W3CDTF">2018-06-04T23:49:00Z</dcterms:created>
  <dcterms:modified xsi:type="dcterms:W3CDTF">2019-12-19T03:24:00Z</dcterms:modified>
</cp:coreProperties>
</file>